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29430" w14:textId="4CF78FF9" w:rsidR="00207AA8" w:rsidRDefault="00293609">
      <w:r>
        <w:rPr>
          <w:noProof/>
        </w:rPr>
        <w:drawing>
          <wp:inline distT="0" distB="0" distL="0" distR="0" wp14:anchorId="012F3003" wp14:editId="331AF78D">
            <wp:extent cx="5916701" cy="1219200"/>
            <wp:effectExtent l="0" t="0" r="8255" b="0"/>
            <wp:docPr id="1744469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29397" cy="1242422"/>
                    </a:xfrm>
                    <a:prstGeom prst="rect">
                      <a:avLst/>
                    </a:prstGeom>
                    <a:noFill/>
                  </pic:spPr>
                </pic:pic>
              </a:graphicData>
            </a:graphic>
          </wp:inline>
        </w:drawing>
      </w:r>
    </w:p>
    <w:p w14:paraId="1DEFD53B" w14:textId="77777777" w:rsidR="00293609" w:rsidRDefault="00293609"/>
    <w:p w14:paraId="20A3C01B" w14:textId="77777777" w:rsidR="00293609" w:rsidRDefault="00293609"/>
    <w:p w14:paraId="31A247A6" w14:textId="39A38645" w:rsidR="00293609" w:rsidRDefault="00293609">
      <w:r>
        <w:br w:type="page"/>
      </w:r>
    </w:p>
    <w:sdt>
      <w:sdtPr>
        <w:id w:val="1351529940"/>
        <w:docPartObj>
          <w:docPartGallery w:val="Table of Contents"/>
          <w:docPartUnique/>
        </w:docPartObj>
      </w:sdtPr>
      <w:sdtEndPr>
        <w:rPr>
          <w:rFonts w:asciiTheme="minorHAnsi" w:eastAsiaTheme="minorHAnsi" w:hAnsiTheme="minorHAnsi" w:cstheme="minorBidi"/>
          <w:color w:val="auto"/>
          <w:kern w:val="2"/>
          <w:sz w:val="22"/>
          <w:szCs w:val="22"/>
          <w:lang w:eastAsia="en-US"/>
          <w14:ligatures w14:val="standardContextual"/>
        </w:rPr>
      </w:sdtEndPr>
      <w:sdtContent>
        <w:p w14:paraId="656CE627" w14:textId="3C495C8C" w:rsidR="00293609" w:rsidRDefault="00293609" w:rsidP="00293609">
          <w:pPr>
            <w:pStyle w:val="En-ttedetabledesmatires"/>
          </w:pPr>
          <w:r>
            <w:t>Table des matières</w:t>
          </w:r>
        </w:p>
        <w:p w14:paraId="1DC6404F" w14:textId="6667EF04" w:rsidR="00293609" w:rsidRDefault="00293609">
          <w:fldSimple w:instr=" TOC \o &quot;1-3&quot; \h \z \u ">
            <w:r>
              <w:rPr>
                <w:b/>
                <w:bCs/>
                <w:noProof/>
              </w:rPr>
              <w:t>Aucune entrée de table des matières n'a été trouvée.</w:t>
            </w:r>
          </w:fldSimple>
        </w:p>
      </w:sdtContent>
    </w:sdt>
    <w:p w14:paraId="5162CC2C" w14:textId="77777777" w:rsidR="00293609" w:rsidRDefault="00293609"/>
    <w:p w14:paraId="57D904F0" w14:textId="75CB82E2" w:rsidR="00293609" w:rsidRDefault="00293609">
      <w:r>
        <w:br w:type="page"/>
      </w:r>
    </w:p>
    <w:p>
      <w:pPr>
        <w:pStyle w:val="Title"/>
        <w:spacing w:after="200"/>
      </w:pPr>
      <w:r>
        <w:t xml:space="preserve">Audit Complet ISO 27001</w:t>
      </w:r>
    </w:p>
    <w:p>
      <w:pPr>
        <w:pStyle w:val="Heading1"/>
        <w:spacing w:before="400" w:after="200"/>
      </w:pPr>
      <w:r>
        <w:t xml:space="preserve">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E0E0E0"/>
          </w:tcPr>
          <w:p>
            <w:r>
              <w:t xml:space="preserve">Domaine</w:t>
            </w:r>
          </w:p>
        </w:tc>
        <w:tc>
          <w:tcPr>
            <w:shd w:fill="E0E0E0"/>
          </w:tcPr>
          <w:p>
            <w:r>
              <w:t xml:space="preserve">Réf</w:t>
            </w:r>
          </w:p>
        </w:tc>
        <w:tc>
          <w:tcPr>
            <w:shd w:fill="E0E0E0"/>
          </w:tcPr>
          <w:p>
            <w:r>
              <w:t xml:space="preserve">Titre du contrôle</w:t>
            </w:r>
          </w:p>
        </w:tc>
        <w:tc>
          <w:tcPr>
            <w:shd w:fill="E0E0E0"/>
          </w:tcPr>
          <w:p>
            <w:r>
              <w:t xml:space="preserve">Niveau de maturité</w:t>
            </w:r>
          </w:p>
        </w:tc>
        <w:tc>
          <w:tcPr>
            <w:shd w:fill="E0E0E0"/>
          </w:tcPr>
          <w:p>
            <w:r>
              <w:t xml:space="preserve">Conformité</w:t>
            </w:r>
          </w:p>
        </w:tc>
        <w:tc>
          <w:tcPr>
            <w:shd w:fill="E0E0E0"/>
          </w:tcPr>
          <w:p>
            <w:r>
              <w:t xml:space="preserve">Actions recommandées (IA)</w:t>
            </w:r>
          </w:p>
        </w:tc>
      </w:tr>
      <w:tr>
        <w:tc>
          <w:tcPr>
            <w:shd w:fill="FFFFFF"/>
          </w:tcPr>
          <w:p>
            <w:r>
              <w:t xml:space="preserve">6. Contrôles des personnes</w:t>
            </w:r>
          </w:p>
        </w:tc>
        <w:tc>
          <w:tcPr>
            <w:shd w:fill="FFFFFF"/>
          </w:tcPr>
          <w:p>
            <w:r>
              <w:t xml:space="preserve">6.3</w:t>
            </w:r>
          </w:p>
        </w:tc>
        <w:tc>
          <w:tcPr>
            <w:shd w:fill="FFFFFF"/>
          </w:tcPr>
          <w:p>
            <w:r>
              <w:t xml:space="preserve">Sensibilisation</w:t>
            </w:r>
          </w:p>
        </w:tc>
        <w:tc>
          <w:tcPr>
            <w:shd w:fill="FFFFFF"/>
          </w:tcPr>
          <w:p>
            <w:r>
              <w:t xml:space="preserve">assez mature</w:t>
            </w:r>
          </w:p>
        </w:tc>
        <w:tc>
          <w:tcPr>
            <w:shd w:fill="FFFFFF"/>
          </w:tcPr>
          <w:p>
            <w:r>
              <w:t xml:space="preserve">partiellement conforme</w:t>
            </w:r>
          </w:p>
        </w:tc>
        <w:tc>
          <w:tcPr>
            <w:shd w:fill="FFFFFF"/>
          </w:tcPr>
          <w:p/>
        </w:tc>
      </w:tr>
      <w:tr>
        <w:tc>
          <w:tcPr>
            <w:shd w:fill="FFFFFF"/>
          </w:tcPr>
          <w:p>
            <w:r>
              <w:t xml:space="preserve">7. Contrôles physiques</w:t>
            </w:r>
          </w:p>
        </w:tc>
        <w:tc>
          <w:tcPr>
            <w:shd w:fill="FFFFFF"/>
          </w:tcPr>
          <w:p>
            <w:r>
              <w:t xml:space="preserve">7.2</w:t>
            </w:r>
          </w:p>
        </w:tc>
        <w:tc>
          <w:tcPr>
            <w:shd w:fill="FFFFFF"/>
          </w:tcPr>
          <w:p>
            <w:r>
              <w:t xml:space="preserve">Entrées physiques</w:t>
            </w:r>
          </w:p>
        </w:tc>
        <w:tc>
          <w:tcPr>
            <w:shd w:fill="FFFFFF"/>
          </w:tcPr>
          <w:p>
            <w:r>
              <w:t xml:space="preserve">très mature</w:t>
            </w:r>
          </w:p>
        </w:tc>
        <w:tc>
          <w:tcPr>
            <w:shd w:fill="FFFFFF"/>
          </w:tcPr>
          <w:p>
            <w:r>
              <w:t xml:space="preserve">Conforme</w:t>
            </w:r>
          </w:p>
        </w:tc>
        <w:tc>
          <w:tcPr>
            <w:shd w:fill="FFFFFF"/>
          </w:tcPr>
          <w:p/>
        </w:tc>
      </w:tr>
      <w:tr>
        <w:tc>
          <w:tcPr>
            <w:shd w:fill="FFFFFF"/>
          </w:tcPr>
          <w:p>
            <w:r>
              <w:t xml:space="preserve">8. Contrôles technologiques</w:t>
            </w:r>
          </w:p>
        </w:tc>
        <w:tc>
          <w:tcPr>
            <w:shd w:fill="FFFFFF"/>
          </w:tcPr>
          <w:p>
            <w:r>
              <w:t xml:space="preserve">8.7</w:t>
            </w:r>
          </w:p>
        </w:tc>
        <w:tc>
          <w:tcPr>
            <w:shd w:fill="FFFFFF"/>
          </w:tcPr>
          <w:p>
            <w:r>
              <w:t xml:space="preserve">Protection malware</w:t>
            </w:r>
          </w:p>
        </w:tc>
        <w:tc>
          <w:tcPr>
            <w:shd w:fill="FFFFFF"/>
          </w:tcPr>
          <w:p>
            <w:r>
              <w:t xml:space="preserve">mature</w:t>
            </w:r>
          </w:p>
        </w:tc>
        <w:tc>
          <w:tcPr>
            <w:shd w:fill="FFFFFF"/>
          </w:tcPr>
          <w:p>
            <w:r>
              <w:t xml:space="preserve">Conforme</w:t>
            </w:r>
          </w:p>
        </w:tc>
        <w:tc>
          <w:tcPr>
            <w:shd w:fill="FFFFFF"/>
          </w:tcPr>
          <w:p/>
        </w:tc>
      </w:tr>
    </w:tbl>
    <w:p>
      <w:pPr>
        <w:spacing w:after="100"/>
      </w:pPr>
      <w:r>
        <w:t xml:space="preserve">&lt;br&gt;&lt;br&gt;</w:t>
      </w:r>
    </w:p>
    <w:p>
      <w:pPr>
        <w:spacing w:after="100"/>
      </w:pPr>
      <w:r>
        <w:t xml:space="preserve">[Le rapport d'audit de sécurité que vous présentez est le fruit d'une analyse approfondie des systèmes et processus liés à la protection des actifs informationnels au sein de notre organisation. Notre entreprise, reconnue pour son engagement envers l'excellence opérationnelle et la conformité réglementaire, a mis en place une structure robuste visant à garantir la sécurité de nos données et infrastructures.</w:t>
      </w:r>
    </w:p>
    <w:p>
      <w:pPr>
        <w:spacing w:after="100"/>
      </w:pPr>
      <w:r>
        <w:t xml:space="preserve">Le contexte dans lequel nous travaillons est marqué par des défis croissants en matière de cybersécurité. Face à ces menaces, l'objectif principal de ce rapport d'audit est d'évaluer la mise en œuvre actuelle des contrôles de sécurité, identifier les vulnérabilités potentielles et proposer des recommandations concrètes pour améliorer notre posture de sécurité. Cette démarche vise à renforcer notre capacité à protéger nos actifs tout en assurant l'intégrité, la confidentialité et la disponibilité de nos informations.</w:t>
      </w:r>
    </w:p>
    <w:p>
      <w:pPr>
        <w:spacing w:after="100"/>
      </w:pPr>
      <w:r>
        <w:t xml:space="preserve">Les résultats détaillés du rapport seront présentés dans les sections suivantes, où nous examinerons chaque domaine clé (contrôles des personnes, contrôles physiques, contrôles technologiques) ainsi que l'état actuel de leur mise en œuvre et la conformité aux normes établies.]</w:t>
      </w:r>
    </w:p>
    <w:p>
      <w:pPr>
        <w:pStyle w:val="Heading1"/>
        <w:spacing w:before="400" w:after="200"/>
      </w:pPr>
      <w:r>
        <w:t xml:space="preserve">Module</w:t>
      </w:r>
    </w:p>
    <w:p>
      <w:pPr>
        <w:spacing w:after="100"/>
      </w:pPr>
      <w:r>
        <w:t xml:space="preserve">[Les données nécessaires pour effectuer une analyse en détail ne sont pas fournies dans votre requête. Cependant, je peux vous aider à structurer l'analyse que vous souhaitez faire sur la conformité avec les normes ISO 27001.</w:t>
      </w:r>
    </w:p>
    <w:p>
      <w:pPr>
        <w:spacing w:after="100"/>
      </w:pPr>
      <w:r>
        <w:t xml:space="preserve">Pour évaluer la conformité par rapport aux normes ISO 27001, il est important de suivre ces étapes :</w:t>
      </w:r>
    </w:p>
    <w:p>
      <w:pPr>
        <w:spacing w:after="100"/>
      </w:pPr>
      <w:r>
        <w:t xml:space="preserve">1. </w:t>
      </w:r>
      <w:r>
        <w:rPr>
          <w:b/>
          <w:bCs/>
        </w:rPr>
        <w:t xml:space="preserve">Comprendre les exigences</w:t>
      </w:r>
      <w:r>
        <w:t xml:space="preserve"> : Familiarisez-vous avec tous les articles et clauses des normes ISO 27001.</w:t>
      </w:r>
    </w:p>
    <w:p>
      <w:pPr>
        <w:spacing w:after="100"/>
      </w:pPr>
      <w:r>
        <w:t xml:space="preserve">2. </w:t>
      </w:r>
      <w:r>
        <w:rPr>
          <w:b/>
          <w:bCs/>
        </w:rPr>
        <w:t xml:space="preserve">Répertorier les contrôles pertinents</w:t>
      </w:r>
      <w:r>
        <w:t xml:space="preserve"> : Identifiez les contrôles spécifiques qui sont requis pour chaque clause de la norme.</w:t>
      </w:r>
    </w:p>
    <w:p>
      <w:pPr>
        <w:spacing w:after="100"/>
      </w:pPr>
      <w:r>
        <w:t xml:space="preserve">3. </w:t>
      </w:r>
      <w:r>
        <w:rPr>
          <w:b/>
          <w:bCs/>
        </w:rPr>
        <w:t xml:space="preserve">Évaluer l'application</w:t>
      </w:r>
      <w:r>
        <w:t xml:space="preserve"> : Vérifiez si ces contrôles sont correctement appliqués et documentés dans votre organisation.</w:t>
      </w:r>
    </w:p>
    <w:p>
      <w:pPr>
        <w:spacing w:after="100"/>
      </w:pPr>
      <w:r>
        <w:t xml:space="preserve">4. </w:t>
      </w:r>
      <w:r>
        <w:rPr>
          <w:b/>
          <w:bCs/>
        </w:rPr>
        <w:t xml:space="preserve">Identifier les points de non-conformité</w:t>
      </w:r>
      <w:r>
        <w:t xml:space="preserve"> :</w:t>
      </w:r>
    </w:p>
    <w:p>
      <w:pPr>
        <w:spacing w:after="100"/>
      </w:pPr>
      <w:r>
        <w:t xml:space="preserve">- </w:t>
      </w:r>
      <w:r>
        <w:rPr>
          <w:b/>
          <w:bCs/>
        </w:rPr>
        <w:t xml:space="preserve">Points de non-conformité majeurs</w:t>
      </w:r>
      <w:r>
        <w:t xml:space="preserve"> : Ces sont des écarts significatifs qui peuvent entraîner un échec total de l'atteinte d'un objectif de sécurité ou une violation importante des normes ISO 27001.</w:t>
      </w:r>
    </w:p>
    <w:p>
      <w:pPr>
        <w:spacing w:after="100"/>
      </w:pPr>
      <w:r>
        <w:t xml:space="preserve">- </w:t>
      </w:r>
      <w:r>
        <w:rPr>
          <w:b/>
          <w:bCs/>
        </w:rPr>
        <w:t xml:space="preserve">Points de non-conformité mineurs</w:t>
      </w:r>
      <w:r>
        <w:t xml:space="preserve"> : Ce sont des écarts moins importants, mais néanmoins nécessitant une attention et une correction.</w:t>
      </w:r>
    </w:p>
    <w:p>
      <w:pPr>
        <w:spacing w:after="100"/>
      </w:pPr>
      <w:r>
        <w:t xml:space="preserve">5. </w:t>
      </w:r>
      <w:r>
        <w:rPr>
          <w:b/>
          <w:bCs/>
        </w:rPr>
        <w:t xml:space="preserve">Documenter les résultats</w:t>
      </w:r>
      <w:r>
        <w:t xml:space="preserve"> : Notez tous les points identifiés en tant que non-conformes, avec des descriptions détaillées et des recommandations pour la résolution.</w:t>
      </w:r>
    </w:p>
    <w:p>
      <w:pPr>
        <w:spacing w:after="100"/>
      </w:pPr>
      <w:r>
        <w:t xml:space="preserve">Si vous avez des données spécifiques à analyser, n'hésitez pas à me les fournir, et je serai heureux de vous aider plus en détail.]</w:t>
      </w:r>
    </w:p>
    <w:p>
      <w:pPr>
        <w:pStyle w:val="Heading1"/>
        <w:spacing w:before="400" w:after="200"/>
      </w:pPr>
      <w:r>
        <w:t xml:space="preserve">Module</w:t>
      </w:r>
    </w:p>
    <w:p>
      <w:pPr>
        <w:spacing w:after="100"/>
      </w:pPr>
      <w:r>
        <w:t xml:space="preserve">[Voici un plan d'action priorisé pour remédier aux non-conformités et réduire les risques identifiés :</w:t>
      </w:r>
    </w:p>
    <w:p>
      <w:pPr>
        <w:spacing w:after="100"/>
      </w:pPr>
      <w:r>
        <w:t xml:space="preserve">1. </w:t>
      </w:r>
      <w:r>
        <w:rPr>
          <w:b/>
          <w:bCs/>
        </w:rPr>
        <w:t xml:space="preserve">Évaluation des risques</w:t>
      </w:r>
      <w:r>
        <w:t xml:space="preserve"> : Réaliser une évaluation complète des risques actuels pour identifier les plus critiques.</w:t>
      </w:r>
    </w:p>
    <w:p>
      <w:pPr>
        <w:spacing w:after="100"/>
      </w:pPr>
      <w:r>
        <w:t xml:space="preserve">2. </w:t>
      </w:r>
      <w:r>
        <w:rPr>
          <w:b/>
          <w:bCs/>
        </w:rPr>
        <w:t xml:space="preserve">Priorisation des actions</w:t>
      </w:r>
      <w:r>
        <w:t xml:space="preserve"> : Classer les actions à entreprendre en fonction de leur impact potentiel et du temps nécessaire pour leur réalisation.</w:t>
      </w:r>
    </w:p>
    <w:p>
      <w:pPr>
        <w:spacing w:after="100"/>
      </w:pPr>
      <w:r>
        <w:t xml:space="preserve">3. </w:t>
      </w:r>
      <w:r>
        <w:rPr>
          <w:b/>
          <w:bCs/>
        </w:rPr>
        <w:t xml:space="preserve">Développement d'un plan correctif</w:t>
      </w:r>
      <w:r>
        <w:t xml:space="preserve"> :</w:t>
      </w:r>
    </w:p>
    <w:p>
      <w:pPr>
        <w:spacing w:after="100"/>
      </w:pPr>
      <w:r>
        <w:t xml:space="preserve">- Identifier les ressources nécessaires (personnel, budget, matériel).</w:t>
      </w:r>
    </w:p>
    <w:p>
      <w:pPr>
        <w:spacing w:after="100"/>
      </w:pPr>
      <w:r>
        <w:t xml:space="preserve">- Définir un calendrier précis avec des échéances clés.</w:t>
      </w:r>
    </w:p>
    <w:p>
      <w:pPr>
        <w:spacing w:after="100"/>
      </w:pPr>
      <w:r>
        <w:t xml:space="preserve">4. </w:t>
      </w:r>
      <w:r>
        <w:rPr>
          <w:b/>
          <w:bCs/>
        </w:rPr>
        <w:t xml:space="preserve">Communication interne</w:t>
      </w:r>
      <w:r>
        <w:t xml:space="preserve"> : Informer tous les acteurs concernés sur le plan d'action et leurs rôles respectifs.</w:t>
      </w:r>
    </w:p>
    <w:p>
      <w:pPr>
        <w:spacing w:after="100"/>
      </w:pPr>
      <w:r>
        <w:t xml:space="preserve">5. </w:t>
      </w:r>
      <w:r>
        <w:rPr>
          <w:b/>
          <w:bCs/>
        </w:rPr>
        <w:t xml:space="preserve">Formation et sensibilisation</w:t>
      </w:r>
      <w:r>
        <w:t xml:space="preserve"> : Organiser des formations pour s'assurer que toutes les personnes impliquées comprennent leur rôle dans la mise en œuvre du plan.</w:t>
      </w:r>
    </w:p>
    <w:p>
      <w:pPr>
        <w:spacing w:after="100"/>
      </w:pPr>
      <w:r>
        <w:t xml:space="preserve">6. </w:t>
      </w:r>
      <w:r>
        <w:rPr>
          <w:b/>
          <w:bCs/>
        </w:rPr>
        <w:t xml:space="preserve">Suivi et évaluation</w:t>
      </w:r>
      <w:r>
        <w:t xml:space="preserve"> : Mettre en place un système de suivi régulier pour évaluer l'avancement des actions et ajuster le plan si nécessaire.</w:t>
      </w:r>
    </w:p>
    <w:p>
      <w:pPr>
        <w:spacing w:after="100"/>
      </w:pPr>
      <w:r>
        <w:t xml:space="preserve">Ce plan permettra d'agir de manière efficace et ciblée, réduisant ainsi les risques associés aux non-conformités.]</w:t>
      </w:r>
    </w:p>
    <w:p>
      <w:pPr>
        <w:pStyle w:val="Heading1"/>
        <w:spacing w:before="400" w:after="200"/>
      </w:pPr>
      <w:r>
        <w:t xml:space="preserve">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0E0E0"/>
          </w:tcPr>
          <w:p>
            <w:r>
              <w:t xml:space="preserve">Domaine</w:t>
            </w:r>
          </w:p>
        </w:tc>
        <w:tc>
          <w:tcPr>
            <w:shd w:fill="E0E0E0"/>
          </w:tcPr>
          <w:p>
            <w:r>
              <w:t xml:space="preserve">Titre du contrôle</w:t>
            </w:r>
          </w:p>
        </w:tc>
        <w:tc>
          <w:tcPr>
            <w:shd w:fill="E0E0E0"/>
          </w:tcPr>
          <w:p>
            <w:r>
              <w:t xml:space="preserve">Constats de l'auditeur</w:t>
            </w:r>
          </w:p>
        </w:tc>
        <w:tc>
          <w:tcPr>
            <w:shd w:fill="E0E0E0"/>
          </w:tcPr>
          <w:p>
            <w:r>
              <w:t xml:space="preserve">Conformité</w:t>
            </w:r>
          </w:p>
        </w:tc>
      </w:tr>
      <w:tr>
        <w:tc>
          <w:tcPr>
            <w:shd w:fill="FFFFFF"/>
          </w:tcPr>
          <w:p>
            <w:r>
              <w:t xml:space="preserve">5. Contrôles organisationnels</w:t>
            </w:r>
          </w:p>
        </w:tc>
        <w:tc>
          <w:tcPr>
            <w:shd w:fill="FFFFFF"/>
          </w:tcPr>
          <w:p>
            <w:r>
              <w:t xml:space="preserve">Politiques de sécurité</w:t>
            </w:r>
          </w:p>
        </w:tc>
        <w:tc>
          <w:tcPr>
            <w:shd w:fill="FFFFFF"/>
          </w:tcPr>
          <w:p>
            <w:r>
              <w:t xml:space="preserve">- Politique existante mais non mise à jour depuis 3 ans.</w:t>
            </w:r>
          </w:p>
        </w:tc>
        <w:tc>
          <w:tcPr>
            <w:shd w:fill="FFFFFF"/>
          </w:tcPr>
          <w:p>
            <w:r>
              <w:t xml:space="preserve">Conforme</w:t>
            </w:r>
          </w:p>
        </w:tc>
      </w:tr>
      <w:tr>
        <w:tc>
          <w:tcPr>
            <w:shd w:fill="FFFFFF"/>
          </w:tcPr>
          <w:p>
            <w:r>
              <w:t xml:space="preserve">5. Contrôles organisationnels</w:t>
            </w:r>
          </w:p>
        </w:tc>
        <w:tc>
          <w:tcPr>
            <w:shd w:fill="FFFFFF"/>
          </w:tcPr>
          <w:p>
            <w:r>
              <w:t xml:space="preserve">Contrôle des accès</w:t>
            </w:r>
          </w:p>
        </w:tc>
        <w:tc>
          <w:tcPr>
            <w:shd w:fill="FFFFFF"/>
          </w:tcPr>
          <w:p/>
        </w:tc>
        <w:tc>
          <w:tcPr>
            <w:shd w:fill="FFFFFF"/>
          </w:tcPr>
          <w:p>
            <w:r>
              <w:t xml:space="preserve">Conforme</w:t>
            </w:r>
          </w:p>
        </w:tc>
      </w:tr>
      <w:tr>
        <w:tc>
          <w:tcPr>
            <w:shd w:fill="FFFFFF"/>
          </w:tcPr>
          <w:p>
            <w:r>
              <w:t xml:space="preserve">6. Contrôles des personnes</w:t>
            </w:r>
          </w:p>
        </w:tc>
        <w:tc>
          <w:tcPr>
            <w:shd w:fill="FFFFFF"/>
          </w:tcPr>
          <w:p>
            <w:r>
              <w:t xml:space="preserve">Sensibilisation</w:t>
            </w:r>
          </w:p>
        </w:tc>
        <w:tc>
          <w:tcPr>
            <w:shd w:fill="FFFFFF"/>
          </w:tcPr>
          <w:p/>
        </w:tc>
        <w:tc>
          <w:tcPr>
            <w:shd w:fill="FFFFFF"/>
          </w:tcPr>
          <w:p>
            <w:r>
              <w:t xml:space="preserve">partiellement conforme</w:t>
            </w:r>
          </w:p>
        </w:tc>
      </w:tr>
      <w:tr>
        <w:tc>
          <w:tcPr>
            <w:shd w:fill="FFFFFF"/>
          </w:tcPr>
          <w:p>
            <w:r>
              <w:t xml:space="preserve">7. Contrôles physiques</w:t>
            </w:r>
          </w:p>
        </w:tc>
        <w:tc>
          <w:tcPr>
            <w:shd w:fill="FFFFFF"/>
          </w:tcPr>
          <w:p>
            <w:r>
              <w:t xml:space="preserve">Entrées physiques</w:t>
            </w:r>
          </w:p>
        </w:tc>
        <w:tc>
          <w:tcPr>
            <w:shd w:fill="FFFFFF"/>
          </w:tcPr>
          <w:p/>
        </w:tc>
        <w:tc>
          <w:tcPr>
            <w:shd w:fill="FFFFFF"/>
          </w:tcPr>
          <w:p>
            <w:r>
              <w:t xml:space="preserve">Conforme</w:t>
            </w:r>
          </w:p>
        </w:tc>
      </w:tr>
      <w:tr>
        <w:tc>
          <w:tcPr>
            <w:shd w:fill="FFFFFF"/>
          </w:tcPr>
          <w:p>
            <w:r>
              <w:t xml:space="preserve">8. Contrôles technologiques</w:t>
            </w:r>
          </w:p>
        </w:tc>
        <w:tc>
          <w:tcPr>
            <w:shd w:fill="FFFFFF"/>
          </w:tcPr>
          <w:p>
            <w:r>
              <w:t xml:space="preserve">Protection malware</w:t>
            </w:r>
          </w:p>
        </w:tc>
        <w:tc>
          <w:tcPr>
            <w:shd w:fill="FFFFFF"/>
          </w:tcPr>
          <w:p/>
        </w:tc>
        <w:tc>
          <w:tcPr>
            <w:shd w:fill="FFFFFF"/>
          </w:tcPr>
          <w:p>
            <w:r>
              <w:t xml:space="preserve">Conforme</w:t>
            </w:r>
          </w:p>
        </w:tc>
      </w:tr>
      <w:tr>
        <w:tc>
          <w:tcPr>
            <w:shd w:fill="FFFFFF"/>
          </w:tcPr>
          <w:p>
            <w:r>
              <w:t xml:space="preserve">8. Contrôles technologiques</w:t>
            </w:r>
          </w:p>
        </w:tc>
        <w:tc>
          <w:tcPr>
            <w:shd w:fill="FFFFFF"/>
          </w:tcPr>
          <w:p>
            <w:r>
              <w:t xml:space="preserve">Suppression des informations</w:t>
            </w:r>
          </w:p>
        </w:tc>
        <w:tc>
          <w:tcPr>
            <w:shd w:fill="FFFFFF"/>
          </w:tcPr>
          <w:p/>
        </w:tc>
        <w:tc>
          <w:tcPr>
            <w:shd w:fill="FFFFFF"/>
          </w:tcPr>
          <w:p>
            <w:r>
              <w:t xml:space="preserve">non conforme</w:t>
            </w:r>
          </w:p>
        </w:tc>
      </w:tr>
    </w:tbl>
    <w:p>
      <w:pPr>
        <w:spacing w:after="100"/>
      </w:pPr>
      <w:r>
        <w:t xml:space="preserve">&lt;br&gt;&lt;br&gt;</w:t>
      </w:r>
    </w:p>
    <w:p>
      <w:pPr>
        <w:spacing w:after="100"/>
      </w:pPr>
      <w:r>
        <w:t xml:space="preserve">Voici les risques principaux basés sur les vulnérabilités détectées, classés par criticité :</w:t>
      </w:r>
    </w:p>
    <w:p>
      <w:pPr>
        <w:spacing w:after="100"/>
      </w:pPr>
      <w:r>
        <w:t xml:space="preserve">1. </w:t>
      </w:r>
      <w:r>
        <w:rPr>
          <w:b/>
          <w:bCs/>
        </w:rPr>
        <w:t xml:space="preserve">Élevé</w:t>
      </w:r>
      <w:r>
        <w:t xml:space="preserve"> :</w:t>
      </w:r>
    </w:p>
    <w:p>
      <w:pPr>
        <w:spacing w:after="100"/>
      </w:pPr>
      <w:r>
        <w:t xml:space="preserve">- Politique de sécurité obsolète : La politique existante n'est pas mise à jour depuis 3 ans, ce qui peut entraîner des lacunes importantes en matière de protection contre les menaces actuelles.</w:t>
      </w:r>
    </w:p>
    <w:p>
      <w:pPr>
        <w:spacing w:after="100"/>
      </w:pPr>
      <w:r>
        <w:t xml:space="preserve">- Suppression des informations non conforme : Cette vulnérabilité expose l'organisation aux risques de fuite d'informations sensibles et potentiellement coûteuses.</w:t>
      </w:r>
    </w:p>
    <w:p>
      <w:pPr>
        <w:spacing w:after="100"/>
      </w:pPr>
      <w:r>
        <w:t xml:space="preserve">2. </w:t>
      </w:r>
      <w:r>
        <w:rPr>
          <w:b/>
          <w:bCs/>
        </w:rPr>
        <w:t xml:space="preserve">Moyen</w:t>
      </w:r>
      <w:r>
        <w:t xml:space="preserve"> :</w:t>
      </w:r>
    </w:p>
    <w:p>
      <w:pPr>
        <w:spacing w:after="100"/>
      </w:pPr>
      <w:r>
        <w:t xml:space="preserve">- Sensibilisation partielle : Bien que la formation soit en place, elle n'est pas complète, ce qui peut réduire l'efficacité des efforts de sécurité au niveau personnel.</w:t>
      </w:r>
    </w:p>
    <w:p>
      <w:pPr>
        <w:spacing w:after="100"/>
      </w:pPr>
      <w:r>
        <w:t xml:space="preserve">- Entrées physiques non vérifiées : Une vulnérabilité potentielle dans les contrôles d'accès physique pourrait permettre une intrusion non autorisée.</w:t>
      </w:r>
    </w:p>
    <w:p>
      <w:pPr>
        <w:spacing w:after="100"/>
      </w:pPr>
      <w:r>
        <w:t xml:space="preserve">3. </w:t>
      </w:r>
      <w:r>
        <w:rPr>
          <w:b/>
          <w:bCs/>
        </w:rPr>
        <w:t xml:space="preserve">Faible</w:t>
      </w:r>
      <w:r>
        <w:t xml:space="preserve"> :</w:t>
      </w:r>
    </w:p>
    <w:p>
      <w:pPr>
        <w:spacing w:after="100"/>
      </w:pPr>
      <w:r>
        <w:t xml:space="preserve">- Contrôle des accès conformes mais potentiellement améliorables : Bien que le contrôle soit actuellement conforme, il est important de veiller à ce qu'il reste efficace face aux évolutions des technologies et des menaces.</w:t>
      </w:r>
    </w:p>
    <w:sectPr w:rsidR="00293609">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0E9A8" w14:textId="77777777" w:rsidR="003332BF" w:rsidRDefault="003332BF" w:rsidP="00293609">
      <w:pPr>
        <w:spacing w:after="0" w:line="240" w:lineRule="auto"/>
      </w:pPr>
      <w:r>
        <w:separator/>
      </w:r>
    </w:p>
  </w:endnote>
  <w:endnote w:type="continuationSeparator" w:id="0">
    <w:p w14:paraId="4EFCD5FE" w14:textId="77777777" w:rsidR="003332BF" w:rsidRDefault="003332BF" w:rsidP="00293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C1C8" w14:textId="513C5B7B" w:rsidR="00293609" w:rsidRDefault="00293609">
    <w:pPr>
      <w:pStyle w:val="Pieddepage"/>
    </w:pPr>
    <w:r>
      <w:t>Rapport 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0819B" w14:textId="77777777" w:rsidR="003332BF" w:rsidRDefault="003332BF" w:rsidP="00293609">
      <w:pPr>
        <w:spacing w:after="0" w:line="240" w:lineRule="auto"/>
      </w:pPr>
      <w:r>
        <w:separator/>
      </w:r>
    </w:p>
  </w:footnote>
  <w:footnote w:type="continuationSeparator" w:id="0">
    <w:p w14:paraId="254C1685" w14:textId="77777777" w:rsidR="003332BF" w:rsidRDefault="003332BF" w:rsidP="002936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609"/>
    <w:rsid w:val="001E188D"/>
    <w:rsid w:val="00207AA8"/>
    <w:rsid w:val="00293609"/>
    <w:rsid w:val="003332BF"/>
    <w:rsid w:val="007E27C0"/>
    <w:rsid w:val="00973F8F"/>
    <w:rsid w:val="00E41E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64F38"/>
  <w15:chartTrackingRefBased/>
  <w15:docId w15:val="{6CBC566E-804A-44C9-ACEF-C684884E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93609"/>
    <w:pPr>
      <w:keepNext/>
      <w:keepLines/>
      <w:spacing w:before="360" w:after="80"/>
      <w:outlineLvl w:val="0"/>
    </w:pPr>
    <w:rPr>
      <w:rFonts w:asciiTheme="majorHAnsi" w:eastAsiaTheme="majorEastAsia" w:hAnsiTheme="majorHAnsi" w:cstheme="majorBidi"/>
      <w:b/>
      <w:bCs/>
      <w:color w:val="C00000"/>
      <w:sz w:val="40"/>
      <w:szCs w:val="40"/>
    </w:rPr>
  </w:style>
  <w:style w:type="paragraph" w:styleId="Titre2">
    <w:name w:val="heading 2"/>
    <w:basedOn w:val="Normal"/>
    <w:next w:val="Normal"/>
    <w:link w:val="Titre2Car"/>
    <w:uiPriority w:val="9"/>
    <w:semiHidden/>
    <w:unhideWhenUsed/>
    <w:qFormat/>
    <w:rsid w:val="002936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9360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9360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9360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9360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9360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9360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9360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93609"/>
    <w:rPr>
      <w:rFonts w:asciiTheme="majorHAnsi" w:eastAsiaTheme="majorEastAsia" w:hAnsiTheme="majorHAnsi" w:cstheme="majorBidi"/>
      <w:b/>
      <w:bCs/>
      <w:color w:val="C00000"/>
      <w:sz w:val="40"/>
      <w:szCs w:val="40"/>
    </w:rPr>
  </w:style>
  <w:style w:type="character" w:customStyle="1" w:styleId="Titre2Car">
    <w:name w:val="Titre 2 Car"/>
    <w:basedOn w:val="Policepardfaut"/>
    <w:link w:val="Titre2"/>
    <w:uiPriority w:val="9"/>
    <w:semiHidden/>
    <w:rsid w:val="0029360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9360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9360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9360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9360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9360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9360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93609"/>
    <w:rPr>
      <w:rFonts w:eastAsiaTheme="majorEastAsia" w:cstheme="majorBidi"/>
      <w:color w:val="272727" w:themeColor="text1" w:themeTint="D8"/>
    </w:rPr>
  </w:style>
  <w:style w:type="paragraph" w:styleId="Titre">
    <w:name w:val="Title"/>
    <w:basedOn w:val="Normal"/>
    <w:next w:val="Normal"/>
    <w:link w:val="TitreCar"/>
    <w:uiPriority w:val="10"/>
    <w:qFormat/>
    <w:rsid w:val="00293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936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9360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936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93609"/>
    <w:pPr>
      <w:spacing w:before="160"/>
      <w:jc w:val="center"/>
    </w:pPr>
    <w:rPr>
      <w:i/>
      <w:iCs/>
      <w:color w:val="404040" w:themeColor="text1" w:themeTint="BF"/>
    </w:rPr>
  </w:style>
  <w:style w:type="character" w:customStyle="1" w:styleId="CitationCar">
    <w:name w:val="Citation Car"/>
    <w:basedOn w:val="Policepardfaut"/>
    <w:link w:val="Citation"/>
    <w:uiPriority w:val="29"/>
    <w:rsid w:val="00293609"/>
    <w:rPr>
      <w:i/>
      <w:iCs/>
      <w:color w:val="404040" w:themeColor="text1" w:themeTint="BF"/>
    </w:rPr>
  </w:style>
  <w:style w:type="paragraph" w:styleId="Paragraphedeliste">
    <w:name w:val="List Paragraph"/>
    <w:basedOn w:val="Normal"/>
    <w:uiPriority w:val="34"/>
    <w:qFormat/>
    <w:rsid w:val="00293609"/>
    <w:pPr>
      <w:ind w:left="720"/>
      <w:contextualSpacing/>
    </w:pPr>
  </w:style>
  <w:style w:type="character" w:styleId="Accentuationintense">
    <w:name w:val="Intense Emphasis"/>
    <w:basedOn w:val="Policepardfaut"/>
    <w:uiPriority w:val="21"/>
    <w:qFormat/>
    <w:rsid w:val="00293609"/>
    <w:rPr>
      <w:i/>
      <w:iCs/>
      <w:color w:val="2F5496" w:themeColor="accent1" w:themeShade="BF"/>
    </w:rPr>
  </w:style>
  <w:style w:type="paragraph" w:styleId="Citationintense">
    <w:name w:val="Intense Quote"/>
    <w:basedOn w:val="Normal"/>
    <w:next w:val="Normal"/>
    <w:link w:val="CitationintenseCar"/>
    <w:uiPriority w:val="30"/>
    <w:qFormat/>
    <w:rsid w:val="002936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93609"/>
    <w:rPr>
      <w:i/>
      <w:iCs/>
      <w:color w:val="2F5496" w:themeColor="accent1" w:themeShade="BF"/>
    </w:rPr>
  </w:style>
  <w:style w:type="character" w:styleId="Rfrenceintense">
    <w:name w:val="Intense Reference"/>
    <w:basedOn w:val="Policepardfaut"/>
    <w:uiPriority w:val="32"/>
    <w:qFormat/>
    <w:rsid w:val="00293609"/>
    <w:rPr>
      <w:b/>
      <w:bCs/>
      <w:smallCaps/>
      <w:color w:val="2F5496" w:themeColor="accent1" w:themeShade="BF"/>
      <w:spacing w:val="5"/>
    </w:rPr>
  </w:style>
  <w:style w:type="paragraph" w:styleId="En-ttedetabledesmatires">
    <w:name w:val="TOC Heading"/>
    <w:basedOn w:val="Titre1"/>
    <w:next w:val="Normal"/>
    <w:uiPriority w:val="39"/>
    <w:unhideWhenUsed/>
    <w:qFormat/>
    <w:rsid w:val="00293609"/>
    <w:pPr>
      <w:spacing w:before="240" w:after="0"/>
      <w:outlineLvl w:val="9"/>
    </w:pPr>
    <w:rPr>
      <w:kern w:val="0"/>
      <w:sz w:val="32"/>
      <w:szCs w:val="32"/>
      <w:lang w:eastAsia="fr-FR"/>
      <w14:ligatures w14:val="none"/>
    </w:rPr>
  </w:style>
  <w:style w:type="paragraph" w:styleId="En-tte">
    <w:name w:val="header"/>
    <w:basedOn w:val="Normal"/>
    <w:link w:val="En-tteCar"/>
    <w:uiPriority w:val="99"/>
    <w:unhideWhenUsed/>
    <w:rsid w:val="00293609"/>
    <w:pPr>
      <w:tabs>
        <w:tab w:val="center" w:pos="4536"/>
        <w:tab w:val="right" w:pos="9072"/>
      </w:tabs>
      <w:spacing w:after="0" w:line="240" w:lineRule="auto"/>
    </w:pPr>
  </w:style>
  <w:style w:type="character" w:customStyle="1" w:styleId="En-tteCar">
    <w:name w:val="En-tête Car"/>
    <w:basedOn w:val="Policepardfaut"/>
    <w:link w:val="En-tte"/>
    <w:uiPriority w:val="99"/>
    <w:rsid w:val="00293609"/>
  </w:style>
  <w:style w:type="paragraph" w:styleId="Pieddepage">
    <w:name w:val="footer"/>
    <w:basedOn w:val="Normal"/>
    <w:link w:val="PieddepageCar"/>
    <w:uiPriority w:val="99"/>
    <w:unhideWhenUsed/>
    <w:rsid w:val="0029360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93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0830EF-CB73-480D-8145-C869F326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16</Words>
  <Characters>93</Characters>
  <Application>Microsoft Office Word</Application>
  <DocSecurity>0</DocSecurity>
  <Lines>1</Lines>
  <Paragraphs>1</Paragraphs>
  <ScaleCrop>false</ScaleCrop>
  <Company/>
  <LinksUpToDate>false</LinksUpToDate>
  <CharactersWithSpaces>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Jiem Ji</dc:creator>
  <cp:keywords/>
  <dc:description/>
  <cp:lastModifiedBy>Jiem Ji</cp:lastModifiedBy>
  <cp:revision>1</cp:revision>
  <dcterms:created xsi:type="dcterms:W3CDTF">2026-02-13T22:06:00Z</dcterms:created>
  <dcterms:modified xsi:type="dcterms:W3CDTF">2026-02-13T22:09:00Z</dcterms:modified>
</cp:coreProperties>
</file>