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E9B7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Homework for week 2, submission deadline 23:59 on Sunday night.</w:t>
      </w:r>
    </w:p>
    <w:p w14:paraId="4CD9A623">
      <w:pPr>
        <w:pStyle w:val="3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Choose your own topics from following list or your own.</w:t>
      </w:r>
    </w:p>
    <w:p w14:paraId="352076A1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Gut microbiota and metabolic disease</w:t>
      </w:r>
    </w:p>
    <w:p w14:paraId="1E99E9EE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Single-cell transcriptomics in cancer immunology</w:t>
      </w:r>
    </w:p>
    <w:p w14:paraId="300D6A5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Antibiotic resistance genomics</w:t>
      </w:r>
    </w:p>
    <w:p w14:paraId="362B651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Epigenetic regulation in neurological disorders</w:t>
      </w:r>
    </w:p>
    <w:p w14:paraId="27625C9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Muscle regeneration and aging</w:t>
      </w:r>
    </w:p>
    <w:p w14:paraId="2F6E4E6A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Proteomic biomarkers in MAFLD/MASH</w:t>
      </w:r>
    </w:p>
    <w:p w14:paraId="7B360B5E">
      <w:pPr>
        <w:spacing w:before="240"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Finish the following question section we covered in the class</w:t>
      </w:r>
    </w:p>
    <w:tbl>
      <w:tblPr>
        <w:tblW w:w="4886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7"/>
        <w:gridCol w:w="4887"/>
        <w:gridCol w:w="3843"/>
      </w:tblGrid>
      <w:tr w14:paraId="5C60C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  <w:tblHeader/>
          <w:jc w:val="center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2D8E"/>
            <w:vAlign w:val="center"/>
          </w:tcPr>
          <w:p w14:paraId="383A7A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Style w:val="36"/>
                <w:b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#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2D8E"/>
            <w:vAlign w:val="center"/>
          </w:tcPr>
          <w:p w14:paraId="5FBB8B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Style w:val="36"/>
                <w:b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Student</w:t>
            </w:r>
            <w:r>
              <w:rPr>
                <w:rStyle w:val="37"/>
                <w:b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</w:t>
            </w:r>
            <w:r>
              <w:rPr>
                <w:rStyle w:val="36"/>
                <w:b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Action</w:t>
            </w:r>
          </w:p>
        </w:tc>
        <w:tc>
          <w:tcPr>
            <w:tcW w:w="2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5B2C8F"/>
            <w:vAlign w:val="center"/>
          </w:tcPr>
          <w:p w14:paraId="371F33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Style w:val="36"/>
                <w:b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Output</w:t>
            </w:r>
          </w:p>
        </w:tc>
      </w:tr>
      <w:tr w14:paraId="1E966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9B9E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1 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B39D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8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Write</w:t>
            </w:r>
            <w:r>
              <w:rPr>
                <w:rStyle w:val="39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</w:t>
            </w:r>
            <w:r>
              <w:rPr>
                <w:rStyle w:val="38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a</w:t>
            </w:r>
            <w:r>
              <w:rPr>
                <w:rStyle w:val="39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</w:t>
            </w:r>
            <w:r>
              <w:rPr>
                <w:rStyle w:val="38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broad</w:t>
            </w:r>
            <w:r>
              <w:rPr>
                <w:rStyle w:val="39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 xml:space="preserve"> </w:t>
            </w:r>
            <w:r>
              <w:rPr>
                <w:rStyle w:val="38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topic</w:t>
            </w:r>
          </w:p>
        </w:tc>
        <w:tc>
          <w:tcPr>
            <w:tcW w:w="2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5686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代谢疾病中的肠道菌群失调</w:t>
            </w:r>
          </w:p>
        </w:tc>
      </w:tr>
      <w:tr w14:paraId="2439A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734C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2 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7F1D1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9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Narrow to a phenomenon</w:t>
            </w:r>
          </w:p>
        </w:tc>
        <w:tc>
          <w:tcPr>
            <w:tcW w:w="2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C158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与健康个体相比，2型糖尿病患者肠道中产丁酸的有益菌丰度显著降低，且其丰度与空腹血糖水平呈负相关</w:t>
            </w:r>
          </w:p>
        </w:tc>
      </w:tr>
      <w:tr w14:paraId="763FB6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AC4A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3 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1094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9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State a testable hypothesis</w:t>
            </w:r>
          </w:p>
        </w:tc>
        <w:tc>
          <w:tcPr>
            <w:tcW w:w="2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5FE6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补充产丁酸的肠道益生菌，能够改善2型糖尿病患者的胰岛素敏感性，降低空腹血糖水平</w:t>
            </w:r>
          </w:p>
        </w:tc>
      </w:tr>
      <w:tr w14:paraId="6F1255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9CAE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4 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853CF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9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Apply PICO/PECO</w:t>
            </w:r>
          </w:p>
        </w:tc>
        <w:tc>
          <w:tcPr>
            <w:tcW w:w="2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6930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Style w:val="16"/>
                <w:rFonts w:ascii="宋体" w:hAnsi="宋体" w:eastAsia="宋体" w:cs="宋体"/>
                <w:sz w:val="24"/>
                <w:szCs w:val="24"/>
              </w:rPr>
            </w:pPr>
            <w:r>
              <w:rPr>
                <w:rStyle w:val="16"/>
                <w:rFonts w:ascii="宋体" w:hAnsi="宋体" w:eastAsia="宋体" w:cs="宋体"/>
                <w:sz w:val="24"/>
                <w:szCs w:val="24"/>
              </w:rPr>
              <w:t xml:space="preserve">PECO </w:t>
            </w:r>
          </w:p>
          <w:p w14:paraId="06BE18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研究人群：确诊为2型糖尿病的成年患者</w:t>
            </w:r>
          </w:p>
          <w:p w14:paraId="0DB42C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暴露因素：肠道菌群中产丁酸菌的丰度降低</w:t>
            </w:r>
          </w:p>
          <w:p w14:paraId="464FE8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对照人群：产丁酸菌丰度正常的健康成年人</w:t>
            </w:r>
          </w:p>
          <w:p w14:paraId="74D629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结局指标：胰岛素抵抗程度升高、空腹血糖升高</w:t>
            </w:r>
          </w:p>
        </w:tc>
      </w:tr>
      <w:tr w14:paraId="3CA418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3381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8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S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A7D9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9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Identify a dataset or data type</w:t>
            </w:r>
          </w:p>
        </w:tc>
        <w:tc>
          <w:tcPr>
            <w:tcW w:w="2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43F5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NCBI SRA数据库，数据集编号：ERP002469</w:t>
            </w:r>
          </w:p>
        </w:tc>
      </w:tr>
      <w:tr w14:paraId="1A27AA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843B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  <w14:ligatures w14:val="standardContextual"/>
              </w:rPr>
              <w:t xml:space="preserve">6 </w:t>
            </w:r>
          </w:p>
        </w:tc>
        <w:tc>
          <w:tcPr>
            <w:tcW w:w="267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31AF2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Style w:val="39"/>
                <w:sz w:val="24"/>
                <w:szCs w:val="24"/>
                <w:bdr w:val="none" w:color="auto" w:sz="0" w:space="0"/>
                <w:lang w:val="en-US" w:eastAsia="zh-CN" w:bidi="ar"/>
                <w14:ligatures w14:val="standardContextual"/>
              </w:rPr>
              <w:t>Draft a minimal analysis plan</w:t>
            </w:r>
          </w:p>
        </w:tc>
        <w:tc>
          <w:tcPr>
            <w:tcW w:w="21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11B5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数据：来自SRA数据库ERP002469 的2型糖尿病患者与健康对照的宏基因组测序原始数据，配套临床血糖相关指标</w:t>
            </w:r>
          </w:p>
          <w:p w14:paraId="74E9D2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方法：1）使用Trimmomatic进行测序数据质量控制；2）使用MetaPhlAn4进行物种分类注释；3）使用QIIME2计算α/β多样性；4）使用LEfSe进行差异物种丰度分析；5）对关键菌属与临床指标做Spearman相关性分析</w:t>
            </w:r>
          </w:p>
          <w:p w14:paraId="4DAA3D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输出：菌群组成柱状图、多样性差异箱线图、差异物种进化分支图、相关性热图</w:t>
            </w:r>
          </w:p>
          <w:p w14:paraId="4EB4CFC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top"/>
              <w:rPr>
                <w:rFonts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  <w:t>验证：在独立队列SRP057068中重复差异丰度分析，验证结果的可重复性</w:t>
            </w:r>
          </w:p>
        </w:tc>
      </w:tr>
    </w:tbl>
    <w:p w14:paraId="26703255">
      <w:pPr>
        <w:rPr>
          <w:rFonts w:ascii="Times New Roman" w:hAnsi="Times New Roman" w:cs="Times New Roman"/>
          <w:lang w:val="en-US"/>
        </w:rPr>
      </w:pPr>
    </w:p>
    <w:p w14:paraId="625B7933">
      <w:pPr>
        <w:pStyle w:val="3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and read two research papers in the folder and answer following question based on these two papers.</w:t>
      </w:r>
    </w:p>
    <w:p w14:paraId="7C153949">
      <w:pPr>
        <w:pStyle w:val="31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p w14:paraId="6F0904A6">
      <w:pPr>
        <w:pStyle w:val="31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2: What kind of dataset or data type these two papers use?</w:t>
      </w:r>
    </w:p>
    <w:p w14:paraId="6D7CAAD3">
      <w:pPr>
        <w:pStyle w:val="31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3: What is the hypothesis of these two research?</w:t>
      </w:r>
    </w:p>
    <w:p w14:paraId="49C192DF">
      <w:pPr>
        <w:pStyle w:val="31"/>
        <w:ind w:left="360"/>
        <w:rPr>
          <w:rFonts w:ascii="Times New Roman" w:hAnsi="Times New Roman" w:cs="Times New Roman"/>
          <w:lang w:val="en-US"/>
        </w:rPr>
      </w:pPr>
    </w:p>
    <w:p w14:paraId="780B0BEC">
      <w:pPr>
        <w:pStyle w:val="31"/>
        <w:ind w:left="0" w:leftChars="0" w:firstLine="0" w:firstLineChars="0"/>
        <w:rPr>
          <w:rFonts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Huang et al. (2023)</w:t>
      </w:r>
    </w:p>
    <w:p w14:paraId="22EC6CBD">
      <w:pPr>
        <w:pStyle w:val="31"/>
        <w:ind w:left="0" w:leftChars="0" w:firstLine="0" w:firstLineChars="0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Q1：</w:t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eastAsia" w:ascii="Times New Roman" w:hAnsi="Times New Roman" w:cs="Times New Roman"/>
          <w:lang w:val="en-US"/>
        </w:rPr>
        <w:t xml:space="preserve">P 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/>
        </w:rPr>
        <w:t>自然分娩、纯/主要母乳喂养的健康足月新生儿；</w:t>
      </w:r>
    </w:p>
    <w:p w14:paraId="7C9C4778">
      <w:pPr>
        <w:pStyle w:val="31"/>
        <w:ind w:left="0" w:leftChars="0" w:firstLine="720" w:firstLineChars="0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 xml:space="preserve">E 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/>
        </w:rPr>
        <w:t>出生、1、2、3月龄的粪便16S菌群网络结构；</w:t>
      </w:r>
    </w:p>
    <w:p w14:paraId="1FF65AE7">
      <w:pPr>
        <w:pStyle w:val="31"/>
        <w:ind w:left="0" w:leftChars="0" w:firstLine="720" w:firstLineChars="0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 xml:space="preserve">C 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/>
        </w:rPr>
        <w:t>6月龄时未患湿疹的健康婴儿；</w:t>
      </w:r>
    </w:p>
    <w:p w14:paraId="5734BB28">
      <w:pPr>
        <w:pStyle w:val="31"/>
        <w:ind w:left="0" w:leftChars="0" w:firstLine="720" w:firstLineChars="0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 xml:space="preserve">O 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/>
        </w:rPr>
        <w:t>6月龄时发生湿疹</w:t>
      </w:r>
    </w:p>
    <w:p w14:paraId="688EA117">
      <w:pPr>
        <w:pStyle w:val="31"/>
        <w:ind w:left="0" w:leftChars="0" w:firstLine="0" w:firstLineChars="0"/>
        <w:rPr>
          <w:rFonts w:hint="eastAsia" w:ascii="Times New Roman" w:hAnsi="Times New Roman" w:cs="Times New Roman"/>
          <w:lang w:val="en-US"/>
        </w:rPr>
      </w:pPr>
    </w:p>
    <w:p w14:paraId="0185E2B1">
      <w:pPr>
        <w:pStyle w:val="31"/>
        <w:ind w:left="0" w:leftChars="0" w:firstLine="0" w:firstLineChars="0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Q2 ：</w:t>
      </w:r>
      <w:r>
        <w:rPr>
          <w:rFonts w:hint="eastAsia" w:ascii="Times New Roman" w:hAnsi="Times New Roman" w:cs="Times New Roman"/>
          <w:lang w:val="en-US" w:eastAsia="zh-CN"/>
        </w:rPr>
        <w:t>数据是</w:t>
      </w:r>
      <w:r>
        <w:rPr>
          <w:rFonts w:hint="eastAsia" w:ascii="Times New Roman" w:hAnsi="Times New Roman" w:cs="Times New Roman"/>
          <w:lang w:val="en-US"/>
        </w:rPr>
        <w:t>16S rRNA基因扩增子测序（V3-V4区）。包括自建队列（136个样本，NMDC10018172）和两个外部公共验证队列（Roswall等，Christensen等）的16S数据</w:t>
      </w:r>
    </w:p>
    <w:p w14:paraId="444EA321">
      <w:pPr>
        <w:pStyle w:val="31"/>
        <w:ind w:left="0" w:leftChars="0" w:firstLine="0" w:firstLineChars="0"/>
        <w:rPr>
          <w:rFonts w:hint="eastAsia" w:ascii="Times New Roman" w:hAnsi="Times New Roman" w:cs="Times New Roman"/>
          <w:lang w:val="en-US"/>
        </w:rPr>
      </w:pPr>
    </w:p>
    <w:p w14:paraId="718229CE">
      <w:pPr>
        <w:pStyle w:val="31"/>
        <w:ind w:left="0" w:leftChars="0" w:firstLine="0" w:firstLineChars="0"/>
        <w:rPr>
          <w:rFonts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Q3：健康婴儿在出生后100天内，肠道微生物网络呈现规律性的复杂性增加（节律性变化）；而最终发生湿疹的婴儿，其网络结构发育异常（复杂度低、缺乏竞争性负相关边），且这种差异在第三个月最为显著。此外，母体孕晚期高甘油三酯可能是湿疹的危险因素</w:t>
      </w:r>
    </w:p>
    <w:p w14:paraId="0B8CB363">
      <w:pPr>
        <w:pStyle w:val="31"/>
        <w:ind w:left="0" w:leftChars="0" w:firstLine="0" w:firstLineChars="0"/>
        <w:rPr>
          <w:rFonts w:ascii="Times New Roman" w:hAnsi="Times New Roman" w:cs="Times New Roman"/>
          <w:lang w:val="en-US"/>
        </w:rPr>
      </w:pPr>
    </w:p>
    <w:p w14:paraId="6435E3D7">
      <w:pPr>
        <w:pStyle w:val="31"/>
        <w:ind w:left="0" w:leftChars="0" w:firstLine="0" w:firstLineChars="0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Priya et al. (2022)</w:t>
      </w:r>
    </w:p>
    <w:p w14:paraId="5CDF3579">
      <w:pPr>
        <w:pStyle w:val="31"/>
        <w:ind w:left="0" w:leftChars="0" w:firstLine="0" w:firstLineChars="0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Q1：</w:t>
      </w:r>
      <w:r>
        <w:rPr>
          <w:rFonts w:hint="eastAsia" w:ascii="Times New Roman" w:hAnsi="Times New Roman" w:cs="Times New Roman"/>
          <w:lang w:val="en-US" w:eastAsia="zh-CN"/>
        </w:rPr>
        <w:tab/>
      </w:r>
      <w:r>
        <w:rPr>
          <w:rFonts w:hint="eastAsia" w:ascii="Times New Roman" w:hAnsi="Times New Roman" w:cs="Times New Roman"/>
          <w:lang w:val="en-US"/>
        </w:rPr>
        <w:t>P – 结直肠癌(CRC)、炎症性肠病(IBD)、肠易激综合征(IBS)患者；</w:t>
      </w:r>
    </w:p>
    <w:p w14:paraId="138894EF">
      <w:pPr>
        <w:pStyle w:val="31"/>
        <w:ind w:left="0" w:leftChars="0" w:firstLine="720" w:firstLineChars="0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E – 结肠黏膜附着的菌群组成（16S）；</w:t>
      </w:r>
    </w:p>
    <w:p w14:paraId="4407390F">
      <w:pPr>
        <w:pStyle w:val="31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C – 同一队列中的非病变组织或健康对照；</w:t>
      </w:r>
    </w:p>
    <w:p w14:paraId="2C29AA99">
      <w:pPr>
        <w:pStyle w:val="31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O – 结肠上皮宿主基因表达谱（RNA-seq）及其与菌群的关联模式</w:t>
      </w:r>
    </w:p>
    <w:p w14:paraId="3D343B76">
      <w:pPr>
        <w:pStyle w:val="31"/>
        <w:ind w:left="0" w:leftChars="0" w:firstLine="0" w:firstLineChars="0"/>
        <w:rPr>
          <w:rFonts w:hint="eastAsia" w:ascii="Times New Roman" w:hAnsi="Times New Roman" w:cs="Times New Roman"/>
          <w:lang w:val="en-US"/>
        </w:rPr>
      </w:pPr>
    </w:p>
    <w:p w14:paraId="6883061C">
      <w:pPr>
        <w:pStyle w:val="31"/>
        <w:ind w:left="0" w:leftChars="0" w:firstLine="0" w:firstLineChars="0"/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Q2：</w:t>
      </w:r>
      <w:r>
        <w:rPr>
          <w:rFonts w:hint="eastAsia" w:ascii="Times New Roman" w:hAnsi="Times New Roman" w:cs="Times New Roman"/>
          <w:lang w:val="en-US" w:eastAsia="zh-CN"/>
        </w:rPr>
        <w:t>数据是</w:t>
      </w:r>
      <w:r>
        <w:rPr>
          <w:rFonts w:hint="eastAsia" w:ascii="Times New Roman" w:hAnsi="Times New Roman" w:cs="Times New Roman"/>
          <w:lang w:val="en-US"/>
        </w:rPr>
        <w:t>配对的多组学数据。共208对样本，每对包含宿主结肠黏膜转录组（RNA-seq） 和16S rRNA菌群测序数据。数据来源于公共数据库（PRJNA816986, PRJNA398089等）</w:t>
      </w:r>
    </w:p>
    <w:p w14:paraId="27A0987D">
      <w:pPr>
        <w:pStyle w:val="31"/>
        <w:ind w:left="0" w:leftChars="0" w:firstLine="0" w:firstLineChars="0"/>
        <w:rPr>
          <w:rFonts w:hint="eastAsia" w:ascii="Times New Roman" w:hAnsi="Times New Roman" w:cs="Times New Roman"/>
          <w:lang w:val="en-US"/>
        </w:rPr>
      </w:pPr>
    </w:p>
    <w:p w14:paraId="2CF1ACE9">
      <w:pPr>
        <w:pStyle w:val="31"/>
        <w:ind w:left="0" w:leftChars="0" w:firstLine="0" w:firstLineChars="0"/>
        <w:rPr>
          <w:rFonts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Q3 ：在CRC、IBD和IBS中，肠道菌群与宿主基因表达存在共有（如炎症、能量代谢通路）和疾病特异性的关联。同一个微生物类群（如链球菌）在不同疾病中可能关联不同的宿主基因通路，揭示疾病特异性的病理机制</w:t>
      </w:r>
    </w:p>
    <w:p w14:paraId="07BFD7E3">
      <w:pPr>
        <w:pStyle w:val="31"/>
        <w:ind w:left="0" w:leftChars="0" w:firstLine="0" w:firstLineChars="0"/>
        <w:rPr>
          <w:rFonts w:ascii="Times New Roman" w:hAnsi="Times New Roman" w:cs="Times New Roman"/>
          <w:lang w:val="en-US"/>
        </w:rPr>
      </w:pPr>
    </w:p>
    <w:p w14:paraId="3E0D8258">
      <w:pPr>
        <w:pStyle w:val="31"/>
        <w:ind w:left="0" w:leftChars="0" w:firstLine="0" w:firstLineChars="0"/>
        <w:rPr>
          <w:rFonts w:ascii="Times New Roman" w:hAnsi="Times New Roman" w:cs="Times New Roman"/>
          <w:lang w:val="en-US"/>
        </w:rPr>
      </w:pPr>
    </w:p>
    <w:p w14:paraId="61DF7401">
      <w:pPr>
        <w:pStyle w:val="31"/>
        <w:ind w:left="0" w:leftChars="0" w:firstLine="0" w:firstLineChars="0"/>
        <w:rPr>
          <w:rFonts w:ascii="Times New Roman" w:hAnsi="Times New Roman" w:cs="Times New Roman"/>
          <w:lang w:val="en-US"/>
        </w:rPr>
      </w:pPr>
    </w:p>
    <w:p w14:paraId="3810AFBF">
      <w:pPr>
        <w:pStyle w:val="31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Based on your research interest, refine the search in PUBMED, and sort, identify the latest and the most important studies in your field. Read this paper and answer three question</w:t>
      </w:r>
      <w:r>
        <w:rPr>
          <w:rFonts w:hint="eastAsia"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>:</w:t>
      </w:r>
    </w:p>
    <w:p w14:paraId="1D6DAACB">
      <w:pPr>
        <w:pStyle w:val="31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1: Use the PICO/PECO, what are they for these two papers?</w:t>
      </w:r>
    </w:p>
    <w:p w14:paraId="7FAFB667">
      <w:pPr>
        <w:pStyle w:val="31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2: What kind of dataset or data type these two papers use?</w:t>
      </w:r>
    </w:p>
    <w:p w14:paraId="5600CB85">
      <w:pPr>
        <w:pStyle w:val="31"/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Question 3: What is the hypothesis of these two research?</w:t>
      </w:r>
    </w:p>
    <w:p w14:paraId="0B645BF3">
      <w:pPr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/>
        </w:rPr>
        <w:t>Paper1：PMID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/>
        </w:rPr>
        <w:t>22622575</w:t>
      </w:r>
    </w:p>
    <w:p w14:paraId="5564CC77">
      <w:pPr>
        <w:rPr>
          <w:rFonts w:hint="eastAsia"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i/>
          <w:iCs/>
          <w:lang w:val="en-US"/>
        </w:rPr>
        <w:t xml:space="preserve">Qin J, et al. A metagenomewide association study of gut microbiota in type 2 diabetes. 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i/>
          <w:iCs/>
          <w:lang w:val="en-US"/>
        </w:rPr>
        <w:t>Nature, 2012.</w:t>
      </w:r>
    </w:p>
    <w:p w14:paraId="147EB9BB">
      <w:pPr>
        <w:rPr>
          <w:rFonts w:ascii="Times New Roman" w:hAnsi="Times New Roman" w:cs="Times New Roman"/>
          <w:lang w:val="en-US"/>
        </w:rPr>
      </w:pPr>
      <w:r>
        <w:rPr>
          <w:rFonts w:hint="eastAsia" w:ascii="Times New Roman" w:hAnsi="Times New Roman" w:cs="Times New Roman"/>
          <w:lang w:val="en-US" w:eastAsia="zh-CN"/>
        </w:rPr>
        <w:t>Paper2：</w:t>
      </w:r>
      <w:r>
        <w:rPr>
          <w:rFonts w:hint="eastAsia" w:ascii="Times New Roman" w:hAnsi="Times New Roman" w:cs="Times New Roman"/>
          <w:lang w:val="en-US"/>
        </w:rPr>
        <w:t>PMID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/>
        </w:rPr>
        <w:t>36849624</w:t>
      </w:r>
    </w:p>
    <w:p w14:paraId="486F6025">
      <w:pPr>
        <w:rPr>
          <w:rFonts w:hint="eastAsia" w:ascii="Times New Roman" w:hAnsi="Times New Roman" w:cs="Times New Roman" w:eastAsiaTheme="minorEastAsia"/>
          <w:i/>
          <w:iCs/>
          <w:lang w:val="en-US" w:eastAsia="zh-CN"/>
        </w:rPr>
      </w:pPr>
      <w:r>
        <w:rPr>
          <w:rFonts w:hint="eastAsia" w:ascii="Times New Roman" w:hAnsi="Times New Roman" w:cs="Times New Roman"/>
          <w:i/>
          <w:iCs/>
          <w:lang w:val="en-US"/>
        </w:rPr>
        <w:t>Gut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>-</w:t>
      </w:r>
      <w:r>
        <w:rPr>
          <w:rFonts w:hint="eastAsia" w:ascii="Times New Roman" w:hAnsi="Times New Roman" w:cs="Times New Roman"/>
          <w:i/>
          <w:iCs/>
          <w:lang w:val="en-US"/>
        </w:rPr>
        <w:t>derived butyrate improves insulin sensitivity by modulating intestinal innate immune responses in type 2 diabetes</w:t>
      </w:r>
      <w:r>
        <w:rPr>
          <w:rFonts w:hint="eastAsia" w:ascii="Times New Roman" w:hAnsi="Times New Roman" w:cs="Times New Roman"/>
          <w:i/>
          <w:iCs/>
          <w:lang w:val="en-US" w:eastAsia="zh-CN"/>
        </w:rPr>
        <w:t xml:space="preserve">. </w:t>
      </w:r>
      <w:r>
        <w:rPr>
          <w:rFonts w:hint="eastAsia" w:ascii="Times New Roman" w:hAnsi="Times New Roman" w:cs="Times New Roman"/>
          <w:i/>
          <w:iCs/>
          <w:lang w:val="en-US"/>
        </w:rPr>
        <w:t>Nature Communications, 2023.</w:t>
      </w:r>
    </w:p>
    <w:p w14:paraId="0FA10AE3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Q1：</w:t>
      </w:r>
      <w:r>
        <w:rPr>
          <w:rFonts w:hint="eastAsia" w:ascii="Times New Roman" w:hAnsi="Times New Roman" w:cs="Times New Roman"/>
          <w:lang w:val="en-US" w:eastAsia="zh-CN"/>
        </w:rPr>
        <w:tab/>
      </w:r>
    </w:p>
    <w:p w14:paraId="5267D083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Paper1：</w:t>
      </w:r>
    </w:p>
    <w:p w14:paraId="52EC0375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P：中国成年 2 型糖尿病患者、健康成年人</w:t>
      </w:r>
    </w:p>
    <w:p w14:paraId="03D4AF4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E：肠道菌群的物种与功能基因组成特征</w:t>
      </w:r>
    </w:p>
    <w:p w14:paraId="6A3CBEA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C：2 型糖尿病患者组 vs 健康对照组</w:t>
      </w:r>
    </w:p>
    <w:p w14:paraId="552C66E3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O：2 型糖尿病患病状态、血糖等临床表型</w:t>
      </w:r>
    </w:p>
    <w:p w14:paraId="2FD6E8FE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Paper2：</w:t>
      </w:r>
    </w:p>
    <w:p w14:paraId="2E4DBEB8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P-成年 2 型糖尿病患者、健康受试者</w:t>
      </w:r>
    </w:p>
    <w:p w14:paraId="566383BF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E-粪便中产丁酸菌丰度、粪便丁酸浓度</w:t>
      </w:r>
    </w:p>
    <w:p w14:paraId="4979B1CC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C-高丁酸 / 产丁酸菌组 vs 低丁酸 / 产丁酸菌组</w:t>
      </w:r>
    </w:p>
    <w:p w14:paraId="54D960CD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O-胰岛素抵抗水平、空腹血糖、肠道免疫因子水平</w:t>
      </w:r>
    </w:p>
    <w:p w14:paraId="64464F2F">
      <w:pPr>
        <w:rPr>
          <w:rFonts w:hint="eastAsia" w:ascii="Times New Roman" w:hAnsi="Times New Roman" w:cs="Times New Roman"/>
          <w:lang w:val="en-US" w:eastAsia="zh-CN"/>
        </w:rPr>
      </w:pPr>
    </w:p>
    <w:p w14:paraId="1BE7200B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Q2：</w:t>
      </w:r>
    </w:p>
    <w:p w14:paraId="79790CE9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Paper1：</w:t>
      </w:r>
    </w:p>
    <w:p w14:paraId="15CE5724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数据类型：人类粪便宏基因组测序数据；受试者临床表型（血糖、BMI 等）。公开数据集编号：NCBI SRA ERP002469</w:t>
      </w:r>
    </w:p>
    <w:p w14:paraId="3CDA79E6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Paper2：</w:t>
      </w:r>
    </w:p>
    <w:p w14:paraId="235787E8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人体样本和动物样本的数据类型有所不同，人体样本为粪便宏基因组测序、粪便代谢组（丁酸定量）、人体临床生化指标；动物样本为小鼠粪便 16S rRNA 扩增子测序、小鼠肠道组织 RNA‑seq 转录组。公开数据集编号：GEO GSE218617</w:t>
      </w:r>
    </w:p>
    <w:p w14:paraId="0EF797DE">
      <w:pPr>
        <w:rPr>
          <w:rFonts w:hint="eastAsia" w:ascii="Times New Roman" w:hAnsi="Times New Roman" w:cs="Times New Roman"/>
          <w:lang w:val="en-US" w:eastAsia="zh-CN"/>
        </w:rPr>
      </w:pPr>
    </w:p>
    <w:p w14:paraId="0F8FFB67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Q3：</w:t>
      </w:r>
    </w:p>
    <w:p w14:paraId="1901898E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Paper1：</w:t>
      </w:r>
    </w:p>
    <w:p w14:paraId="569707FE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2 型糖尿病患者存在特征性的肠道微生物组功能改变，肠道菌群的基因组成可以区分 2 型糖尿病患者与健康人群</w:t>
      </w:r>
    </w:p>
    <w:p w14:paraId="7651C726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Paper2：</w:t>
      </w:r>
      <w:bookmarkStart w:id="0" w:name="_GoBack"/>
      <w:bookmarkEnd w:id="0"/>
    </w:p>
    <w:p w14:paraId="498679F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2 型糖尿病患者肠道中产丁酸菌丰度下降，会造成丁酸生成不足；丁酸能够通过调控肠道固有免疫应答通路，改善机体胰岛素敏感性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893EB9"/>
    <w:multiLevelType w:val="multilevel"/>
    <w:tmpl w:val="12893E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7C13D04"/>
    <w:multiLevelType w:val="multilevel"/>
    <w:tmpl w:val="57C13D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E73"/>
    <w:rsid w:val="0040633A"/>
    <w:rsid w:val="00651052"/>
    <w:rsid w:val="00680E65"/>
    <w:rsid w:val="00880E73"/>
    <w:rsid w:val="008C5ACE"/>
    <w:rsid w:val="00F917DF"/>
    <w:rsid w:val="09484901"/>
    <w:rsid w:val="40B1141C"/>
    <w:rsid w:val="4A753E63"/>
    <w:rsid w:val="7628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zh-CN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styleId="17">
    <w:name w:val="Emphasis"/>
    <w:basedOn w:val="15"/>
    <w:qFormat/>
    <w:uiPriority w:val="20"/>
    <w:rPr>
      <w:i/>
    </w:rPr>
  </w:style>
  <w:style w:type="character" w:customStyle="1" w:styleId="18">
    <w:name w:val="Heading 1 Char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5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5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5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5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5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5"/>
    <w:link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5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5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font11"/>
    <w:basedOn w:val="15"/>
    <w:uiPriority w:val="0"/>
    <w:rPr>
      <w:rFonts w:ascii="宋体" w:hAnsi="宋体" w:eastAsia="宋体" w:cs="宋体"/>
      <w:b/>
      <w:bCs/>
      <w:color w:val="FFFFFF"/>
      <w:sz w:val="32"/>
      <w:szCs w:val="32"/>
      <w:u w:val="none"/>
    </w:rPr>
  </w:style>
  <w:style w:type="character" w:customStyle="1" w:styleId="37">
    <w:name w:val="font41"/>
    <w:basedOn w:val="15"/>
    <w:uiPriority w:val="0"/>
    <w:rPr>
      <w:rFonts w:ascii="宋体" w:hAnsi="宋体" w:eastAsia="宋体" w:cs="宋体"/>
      <w:color w:val="FFFFFF"/>
      <w:sz w:val="32"/>
      <w:szCs w:val="32"/>
      <w:u w:val="none"/>
    </w:rPr>
  </w:style>
  <w:style w:type="character" w:customStyle="1" w:styleId="38">
    <w:name w:val="font51"/>
    <w:basedOn w:val="15"/>
    <w:uiPriority w:val="0"/>
    <w:rPr>
      <w:rFonts w:ascii="宋体" w:hAnsi="宋体" w:eastAsia="宋体" w:cs="宋体"/>
      <w:b/>
      <w:bCs/>
      <w:color w:val="000000"/>
      <w:sz w:val="32"/>
      <w:szCs w:val="32"/>
      <w:u w:val="none"/>
    </w:rPr>
  </w:style>
  <w:style w:type="character" w:customStyle="1" w:styleId="39">
    <w:name w:val="font61"/>
    <w:basedOn w:val="15"/>
    <w:uiPriority w:val="0"/>
    <w:rPr>
      <w:rFonts w:ascii="宋体" w:hAnsi="宋体" w:eastAsia="宋体" w:cs="宋体"/>
      <w:color w:val="000000"/>
      <w:sz w:val="32"/>
      <w:szCs w:val="3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174</Words>
  <Characters>911</Characters>
  <Lines>7</Lines>
  <Paragraphs>2</Paragraphs>
  <TotalTime>76</TotalTime>
  <ScaleCrop>false</ScaleCrop>
  <LinksUpToDate>false</LinksUpToDate>
  <CharactersWithSpaces>1068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2026-08-22T08:22:00Z</dcterms:created>
  <dc:creator>mac</dc:creator>
  <cp:lastModifiedBy>WPS_1649061961</cp:lastModifiedBy>
  <dcterms:modified xsi:type="dcterms:W3CDTF">2026-09-06T14:38:31Z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eyJoZGlkIjoiOWZhMWFkMDc1N2ZkYmVkZWVmNzI0YWI0ZDg2Yjk5ZGEiLCJ1c2VySWQiOiIxMzU3NjQxMTE0In0=</vt:lpwstr>
  </property>
  <property fmtid="{D5CDD505-2E9C-101B-9397-08002B2CF9AE}" pid="3" name="KSOProductBuildVer">
    <vt:lpwstr>2052-12.1.0.28505</vt:lpwstr>
  </property>
  <property fmtid="{D5CDD505-2E9C-101B-9397-08002B2CF9AE}" pid="4" name="ICV">
    <vt:lpwstr>CDD4A05703274C9A86F7A7ACE2A31B11_12</vt:lpwstr>
  </property>
</Properties>
</file>