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8E4CA" w14:textId="77777777" w:rsidR="007270D3" w:rsidRDefault="00000000">
      <w:pPr>
        <w:jc w:val="center"/>
      </w:pPr>
      <w:r>
        <w:rPr>
          <w:rFonts w:ascii="Times New Roman" w:hAnsi="Times New Roman"/>
          <w:b/>
          <w:sz w:val="28"/>
        </w:rPr>
        <w:t>Supporting reconstruction material: Forming Claims in Evidence Synthesis</w:t>
      </w:r>
    </w:p>
    <w:p w14:paraId="54BDD673" w14:textId="77777777" w:rsidR="007270D3" w:rsidRDefault="00000000">
      <w:pPr>
        <w:jc w:val="center"/>
      </w:pPr>
      <w:r>
        <w:rPr>
          <w:rFonts w:ascii="Times New Roman" w:hAnsi="Times New Roman"/>
          <w:b/>
        </w:rPr>
        <w:t>Retrospective case audit sheet</w:t>
      </w:r>
    </w:p>
    <w:p w14:paraId="11D8D50B" w14:textId="77777777" w:rsidR="007270D3" w:rsidRDefault="00000000">
      <w:pPr>
        <w:spacing w:after="100"/>
      </w:pPr>
      <w:r>
        <w:rPr>
          <w:rFonts w:ascii="Times New Roman" w:hAnsi="Times New Roman"/>
          <w:sz w:val="18"/>
        </w:rPr>
        <w:t>Purpose: to make the four retrospective S–C reconstructions inspectable. Source passages are identified by section/location and paraphrased; substantial copyrighted text is not reproduced.</w:t>
      </w:r>
    </w:p>
    <w:p w14:paraId="4671C39D" w14:textId="77777777" w:rsidR="007270D3" w:rsidRDefault="00000000">
      <w:pPr>
        <w:spacing w:after="100"/>
      </w:pPr>
      <w:r>
        <w:rPr>
          <w:rFonts w:ascii="Times New Roman" w:hAnsi="Times New Roman"/>
          <w:sz w:val="18"/>
        </w:rPr>
        <w:t>Selection rule: specify C, identify the smallest sufficient completed synthesis finding or findings that the review itself provides while retaining qualifications relevant to C, and fix that S–C pair before applying the additional-proposition test. If another plausible S would materially change the judgement, record the alternative rather than selecting a pairing to force a preferred result.</w:t>
      </w:r>
    </w:p>
    <w:p w14:paraId="156A35DB" w14:textId="77777777" w:rsidR="007270D3" w:rsidRDefault="00000000">
      <w:pPr>
        <w:spacing w:after="100"/>
      </w:pPr>
      <w:r>
        <w:rPr>
          <w:rFonts w:ascii="Times New Roman" w:hAnsi="Times New Roman"/>
          <w:sz w:val="18"/>
        </w:rPr>
        <w:t>Source-control note: Case 1 uses Clemson et al. (2023), Cochrane Database of Systematic Reviews, CD013258. The earlier Clemson et al. (2008) meta-analysis is not the source for this case and was not used to support the reconstruction.</w:t>
      </w:r>
    </w:p>
    <w:tbl>
      <w:tblPr>
        <w:tblStyle w:val="TableGrid"/>
        <w:tblW w:w="0" w:type="auto"/>
        <w:jc w:val="center"/>
        <w:tblLook w:val="04A0" w:firstRow="1" w:lastRow="0" w:firstColumn="1" w:lastColumn="0" w:noHBand="0" w:noVBand="1"/>
      </w:tblPr>
      <w:tblGrid>
        <w:gridCol w:w="1892"/>
        <w:gridCol w:w="1892"/>
        <w:gridCol w:w="1892"/>
        <w:gridCol w:w="1892"/>
        <w:gridCol w:w="1892"/>
        <w:gridCol w:w="1892"/>
        <w:gridCol w:w="1892"/>
        <w:gridCol w:w="1892"/>
      </w:tblGrid>
      <w:tr w:rsidR="007270D3" w14:paraId="133B9311" w14:textId="77777777">
        <w:trPr>
          <w:cantSplit/>
          <w:tblHeader/>
          <w:jc w:val="center"/>
        </w:trPr>
        <w:tc>
          <w:tcPr>
            <w:tcW w:w="1892" w:type="dxa"/>
            <w:shd w:val="clear" w:color="auto" w:fill="D9E2F3"/>
          </w:tcPr>
          <w:p w14:paraId="26A0C18A" w14:textId="77777777" w:rsidR="007270D3" w:rsidRDefault="00000000">
            <w:r>
              <w:rPr>
                <w:rFonts w:ascii="Times New Roman" w:hAnsi="Times New Roman"/>
                <w:b/>
                <w:sz w:val="14"/>
              </w:rPr>
              <w:t>Case</w:t>
            </w:r>
          </w:p>
        </w:tc>
        <w:tc>
          <w:tcPr>
            <w:tcW w:w="1892" w:type="dxa"/>
            <w:shd w:val="clear" w:color="auto" w:fill="D9E2F3"/>
          </w:tcPr>
          <w:p w14:paraId="002DA0B5" w14:textId="77777777" w:rsidR="007270D3" w:rsidRDefault="00000000">
            <w:r>
              <w:rPr>
                <w:rFonts w:ascii="Times New Roman" w:hAnsi="Times New Roman"/>
                <w:b/>
                <w:sz w:val="14"/>
              </w:rPr>
              <w:t>Selected C / source location</w:t>
            </w:r>
          </w:p>
        </w:tc>
        <w:tc>
          <w:tcPr>
            <w:tcW w:w="1892" w:type="dxa"/>
            <w:shd w:val="clear" w:color="auto" w:fill="D9E2F3"/>
          </w:tcPr>
          <w:p w14:paraId="717ADD7F" w14:textId="77777777" w:rsidR="007270D3" w:rsidRDefault="00000000">
            <w:r>
              <w:rPr>
                <w:rFonts w:ascii="Times New Roman" w:hAnsi="Times New Roman"/>
                <w:b/>
                <w:sz w:val="14"/>
              </w:rPr>
              <w:t>Selected S / source location</w:t>
            </w:r>
          </w:p>
        </w:tc>
        <w:tc>
          <w:tcPr>
            <w:tcW w:w="1892" w:type="dxa"/>
            <w:shd w:val="clear" w:color="auto" w:fill="D9E2F3"/>
          </w:tcPr>
          <w:p w14:paraId="1190559D" w14:textId="77777777" w:rsidR="007270D3" w:rsidRDefault="00000000">
            <w:r>
              <w:rPr>
                <w:rFonts w:ascii="Times New Roman" w:hAnsi="Times New Roman"/>
                <w:b/>
                <w:sz w:val="14"/>
              </w:rPr>
              <w:t>Additional/disputed proposition</w:t>
            </w:r>
          </w:p>
        </w:tc>
        <w:tc>
          <w:tcPr>
            <w:tcW w:w="1892" w:type="dxa"/>
            <w:shd w:val="clear" w:color="auto" w:fill="D9E2F3"/>
          </w:tcPr>
          <w:p w14:paraId="69312F4A" w14:textId="77777777" w:rsidR="007270D3" w:rsidRDefault="00000000">
            <w:r>
              <w:rPr>
                <w:rFonts w:ascii="Times New Roman" w:hAnsi="Times New Roman"/>
                <w:b/>
                <w:sz w:val="14"/>
              </w:rPr>
              <w:t>Point of entry</w:t>
            </w:r>
          </w:p>
        </w:tc>
        <w:tc>
          <w:tcPr>
            <w:tcW w:w="1892" w:type="dxa"/>
            <w:shd w:val="clear" w:color="auto" w:fill="D9E2F3"/>
          </w:tcPr>
          <w:p w14:paraId="1EF0201F" w14:textId="77777777" w:rsidR="007270D3" w:rsidRDefault="00000000">
            <w:r>
              <w:rPr>
                <w:rFonts w:ascii="Times New Roman" w:hAnsi="Times New Roman"/>
                <w:b/>
                <w:sz w:val="14"/>
              </w:rPr>
              <w:t>Relevant basis/method</w:t>
            </w:r>
          </w:p>
        </w:tc>
        <w:tc>
          <w:tcPr>
            <w:tcW w:w="1892" w:type="dxa"/>
            <w:shd w:val="clear" w:color="auto" w:fill="D9E2F3"/>
          </w:tcPr>
          <w:p w14:paraId="7D0D10DC" w14:textId="77777777" w:rsidR="007270D3" w:rsidRDefault="00000000">
            <w:r>
              <w:rPr>
                <w:rFonts w:ascii="Times New Roman" w:hAnsi="Times New Roman"/>
                <w:b/>
                <w:sz w:val="14"/>
              </w:rPr>
              <w:t>Action</w:t>
            </w:r>
          </w:p>
        </w:tc>
        <w:tc>
          <w:tcPr>
            <w:tcW w:w="1892" w:type="dxa"/>
            <w:shd w:val="clear" w:color="auto" w:fill="D9E2F3"/>
          </w:tcPr>
          <w:p w14:paraId="794CD2B0" w14:textId="77777777" w:rsidR="007270D3" w:rsidRDefault="00000000">
            <w:r>
              <w:rPr>
                <w:rFonts w:ascii="Times New Roman" w:hAnsi="Times New Roman"/>
                <w:b/>
                <w:sz w:val="14"/>
              </w:rPr>
              <w:t>Rationale</w:t>
            </w:r>
          </w:p>
        </w:tc>
      </w:tr>
      <w:tr w:rsidR="007270D3" w14:paraId="204C6ED8" w14:textId="77777777">
        <w:trPr>
          <w:cantSplit/>
          <w:jc w:val="center"/>
        </w:trPr>
        <w:tc>
          <w:tcPr>
            <w:tcW w:w="1892" w:type="dxa"/>
          </w:tcPr>
          <w:p w14:paraId="6F85A0A8" w14:textId="77777777" w:rsidR="007270D3" w:rsidRDefault="00000000">
            <w:r>
              <w:rPr>
                <w:rFonts w:ascii="Times New Roman" w:hAnsi="Times New Roman"/>
                <w:sz w:val="14"/>
              </w:rPr>
              <w:t>Clemson et al. (2023)</w:t>
            </w:r>
          </w:p>
        </w:tc>
        <w:tc>
          <w:tcPr>
            <w:tcW w:w="1892" w:type="dxa"/>
          </w:tcPr>
          <w:p w14:paraId="747130AF" w14:textId="77777777" w:rsidR="007270D3" w:rsidRDefault="00000000">
            <w:r>
              <w:rPr>
                <w:rFonts w:ascii="Times New Roman" w:hAnsi="Times New Roman"/>
                <w:sz w:val="14"/>
              </w:rPr>
              <w:t>Authors' Conclusions, rate-of-falls component: high-certainty evidence that home fall-hazard interventions reduce the rate of falls when targeted to people at higher risk of falling</w:t>
            </w:r>
          </w:p>
        </w:tc>
        <w:tc>
          <w:tcPr>
            <w:tcW w:w="1892" w:type="dxa"/>
          </w:tcPr>
          <w:p w14:paraId="356599E5" w14:textId="77777777" w:rsidR="007270D3" w:rsidRDefault="00000000">
            <w:r>
              <w:rPr>
                <w:rFonts w:ascii="Times New Roman" w:hAnsi="Times New Roman"/>
                <w:sz w:val="14"/>
              </w:rPr>
              <w:t>Results, home fall-hazard reduction subgroup by baseline fall risk: higher-risk participants RaR 0.62 (95% CI 0.56–0.70), 9 studies, 1,513 participants; high-certainty evidence. Unselected participants: RaR 1.05 (0.96–1.16), high certainty.</w:t>
            </w:r>
          </w:p>
        </w:tc>
        <w:tc>
          <w:tcPr>
            <w:tcW w:w="1892" w:type="dxa"/>
          </w:tcPr>
          <w:p w14:paraId="15CDA476" w14:textId="77777777" w:rsidR="007270D3" w:rsidRDefault="00000000">
            <w:r>
              <w:rPr>
                <w:rFonts w:ascii="Times New Roman" w:hAnsi="Times New Roman"/>
                <w:sz w:val="14"/>
              </w:rPr>
              <w:t>None requiring separate conclusion-level support</w:t>
            </w:r>
          </w:p>
        </w:tc>
        <w:tc>
          <w:tcPr>
            <w:tcW w:w="1892" w:type="dxa"/>
          </w:tcPr>
          <w:p w14:paraId="0D2AF42C" w14:textId="77777777" w:rsidR="007270D3" w:rsidRDefault="00000000">
            <w:r>
              <w:rPr>
                <w:rFonts w:ascii="Times New Roman" w:hAnsi="Times New Roman"/>
                <w:sz w:val="14"/>
              </w:rPr>
              <w:t>No new proposition at C</w:t>
            </w:r>
          </w:p>
        </w:tc>
        <w:tc>
          <w:tcPr>
            <w:tcW w:w="1892" w:type="dxa"/>
          </w:tcPr>
          <w:p w14:paraId="43E60364" w14:textId="77777777" w:rsidR="007270D3" w:rsidRDefault="00000000">
            <w:r>
              <w:rPr>
                <w:rFonts w:ascii="Times New Roman" w:hAnsi="Times New Roman"/>
                <w:sz w:val="14"/>
              </w:rPr>
              <w:t>Outcome-specific intervention synthesis + GRADE certainty assessment</w:t>
            </w:r>
          </w:p>
        </w:tc>
        <w:tc>
          <w:tcPr>
            <w:tcW w:w="1892" w:type="dxa"/>
          </w:tcPr>
          <w:p w14:paraId="6A1CF123" w14:textId="77777777" w:rsidR="007270D3" w:rsidRDefault="00000000">
            <w:r>
              <w:rPr>
                <w:rFonts w:ascii="Times New Roman" w:hAnsi="Times New Roman"/>
                <w:sz w:val="14"/>
              </w:rPr>
              <w:t>Retain / stop</w:t>
            </w:r>
          </w:p>
        </w:tc>
        <w:tc>
          <w:tcPr>
            <w:tcW w:w="1892" w:type="dxa"/>
          </w:tcPr>
          <w:p w14:paraId="735BB570" w14:textId="77777777" w:rsidR="007270D3" w:rsidRDefault="00000000">
            <w:r>
              <w:rPr>
                <w:rFonts w:ascii="Times New Roman" w:hAnsi="Times New Roman"/>
                <w:sz w:val="14"/>
              </w:rPr>
              <w:t>C preserves the rate-of-falls outcome, higher-risk population restriction, direction and high-certainty qualification already present in S.</w:t>
            </w:r>
          </w:p>
        </w:tc>
      </w:tr>
      <w:tr w:rsidR="007270D3" w14:paraId="20EF7CFB" w14:textId="77777777">
        <w:trPr>
          <w:cantSplit/>
          <w:jc w:val="center"/>
        </w:trPr>
        <w:tc>
          <w:tcPr>
            <w:tcW w:w="1892" w:type="dxa"/>
          </w:tcPr>
          <w:p w14:paraId="2F451056" w14:textId="77777777" w:rsidR="007270D3" w:rsidRDefault="00000000">
            <w:r>
              <w:rPr>
                <w:rFonts w:ascii="Times New Roman" w:hAnsi="Times New Roman"/>
                <w:sz w:val="14"/>
              </w:rPr>
              <w:t>Bower et al. (2023)</w:t>
            </w:r>
          </w:p>
        </w:tc>
        <w:tc>
          <w:tcPr>
            <w:tcW w:w="1892" w:type="dxa"/>
          </w:tcPr>
          <w:p w14:paraId="0790921B" w14:textId="77777777" w:rsidR="007270D3" w:rsidRDefault="00000000">
            <w:r>
              <w:rPr>
                <w:rFonts w:ascii="Times New Roman" w:hAnsi="Times New Roman"/>
                <w:sz w:val="14"/>
              </w:rPr>
              <w:t>Conclusion §5, opening theoretical statement: built environments afford practices that can prevent loneliness; no single built-environment aspect is sufficient to prevent it fully</w:t>
            </w:r>
          </w:p>
        </w:tc>
        <w:tc>
          <w:tcPr>
            <w:tcW w:w="1892" w:type="dxa"/>
          </w:tcPr>
          <w:p w14:paraId="5041C7A3" w14:textId="77777777" w:rsidR="007270D3" w:rsidRDefault="00000000">
            <w:r>
              <w:rPr>
                <w:rFonts w:ascii="Times New Roman" w:hAnsi="Times New Roman"/>
                <w:sz w:val="14"/>
              </w:rPr>
              <w:t>Discussion §4.1, final integrative paragraphs before §4.2: the completed narrative/theoretical synthesis describes a complex contextual relation, integrates structuration and affordance, and states that built environments afford opportunities filtered through multiple scales and lived experience to protect against loneliness</w:t>
            </w:r>
          </w:p>
        </w:tc>
        <w:tc>
          <w:tcPr>
            <w:tcW w:w="1892" w:type="dxa"/>
          </w:tcPr>
          <w:p w14:paraId="06948A0A" w14:textId="77777777" w:rsidR="007270D3" w:rsidRDefault="00000000">
            <w:r>
              <w:rPr>
                <w:rFonts w:ascii="Times New Roman" w:hAnsi="Times New Roman"/>
                <w:sz w:val="14"/>
              </w:rPr>
              <w:t>None once interpretive synthesis is included in S</w:t>
            </w:r>
          </w:p>
        </w:tc>
        <w:tc>
          <w:tcPr>
            <w:tcW w:w="1892" w:type="dxa"/>
          </w:tcPr>
          <w:p w14:paraId="0B806299" w14:textId="77777777" w:rsidR="007270D3" w:rsidRDefault="00000000">
            <w:r>
              <w:rPr>
                <w:rFonts w:ascii="Times New Roman" w:hAnsi="Times New Roman"/>
                <w:sz w:val="14"/>
              </w:rPr>
              <w:t>Interpretive proposition generated during the completed narrative/theoretical synthesis, before policy/practice implications</w:t>
            </w:r>
          </w:p>
        </w:tc>
        <w:tc>
          <w:tcPr>
            <w:tcW w:w="1892" w:type="dxa"/>
          </w:tcPr>
          <w:p w14:paraId="57534D90" w14:textId="77777777" w:rsidR="007270D3" w:rsidRDefault="00000000">
            <w:r>
              <w:rPr>
                <w:rFonts w:ascii="Times New Roman" w:hAnsi="Times New Roman"/>
                <w:sz w:val="14"/>
              </w:rPr>
              <w:t>Declared narrative synthesis; theory integration</w:t>
            </w:r>
          </w:p>
        </w:tc>
        <w:tc>
          <w:tcPr>
            <w:tcW w:w="1892" w:type="dxa"/>
          </w:tcPr>
          <w:p w14:paraId="31D3802E" w14:textId="77777777" w:rsidR="007270D3" w:rsidRDefault="00000000">
            <w:r>
              <w:rPr>
                <w:rFonts w:ascii="Times New Roman" w:hAnsi="Times New Roman"/>
                <w:sz w:val="14"/>
              </w:rPr>
              <w:t>Retain</w:t>
            </w:r>
          </w:p>
        </w:tc>
        <w:tc>
          <w:tcPr>
            <w:tcW w:w="1892" w:type="dxa"/>
          </w:tcPr>
          <w:p w14:paraId="19E929A6" w14:textId="77777777" w:rsidR="007270D3" w:rsidRDefault="00000000">
            <w:r>
              <w:rPr>
                <w:rFonts w:ascii="Times New Roman" w:hAnsi="Times New Roman"/>
                <w:sz w:val="14"/>
              </w:rPr>
              <w:t>Using isolated primary-study associations as S would manufacture a conclusion-level addition. The later policy/investment implications are outside this selected C.</w:t>
            </w:r>
          </w:p>
        </w:tc>
      </w:tr>
      <w:tr w:rsidR="007270D3" w14:paraId="07B649DA" w14:textId="77777777">
        <w:trPr>
          <w:cantSplit/>
          <w:jc w:val="center"/>
        </w:trPr>
        <w:tc>
          <w:tcPr>
            <w:tcW w:w="1892" w:type="dxa"/>
          </w:tcPr>
          <w:p w14:paraId="1E9A5B17" w14:textId="77777777" w:rsidR="007270D3" w:rsidRDefault="00000000">
            <w:r>
              <w:rPr>
                <w:rFonts w:ascii="Times New Roman" w:hAnsi="Times New Roman"/>
                <w:sz w:val="14"/>
              </w:rPr>
              <w:t>Hernández et al. (2023)</w:t>
            </w:r>
          </w:p>
        </w:tc>
        <w:tc>
          <w:tcPr>
            <w:tcW w:w="1892" w:type="dxa"/>
          </w:tcPr>
          <w:p w14:paraId="22A533C9" w14:textId="77777777" w:rsidR="007270D3" w:rsidRDefault="00000000">
            <w:r>
              <w:rPr>
                <w:rFonts w:ascii="Times New Roman" w:hAnsi="Times New Roman"/>
                <w:sz w:val="14"/>
              </w:rPr>
              <w:t>Conclusion: structural modifications in parks/active transport show effects in promoting physical activity</w:t>
            </w:r>
          </w:p>
        </w:tc>
        <w:tc>
          <w:tcPr>
            <w:tcW w:w="1892" w:type="dxa"/>
          </w:tcPr>
          <w:p w14:paraId="36C062DD" w14:textId="77777777" w:rsidR="007270D3" w:rsidRDefault="00000000">
            <w:r>
              <w:rPr>
                <w:rFonts w:ascii="Times New Roman" w:hAnsi="Times New Roman"/>
                <w:sz w:val="14"/>
              </w:rPr>
              <w:t>Objective + Results section “Effectiveness of the structural modifications”: effectiveness/improvement language appears before the final conclusion; the review also reports risk-of-bias concerns inherent in the natural experiments</w:t>
            </w:r>
          </w:p>
        </w:tc>
        <w:tc>
          <w:tcPr>
            <w:tcW w:w="1892" w:type="dxa"/>
          </w:tcPr>
          <w:p w14:paraId="0D9D7EA5" w14:textId="77777777" w:rsidR="007270D3" w:rsidRDefault="00000000">
            <w:r>
              <w:rPr>
                <w:rFonts w:ascii="Times New Roman" w:hAnsi="Times New Roman"/>
                <w:sz w:val="14"/>
              </w:rPr>
              <w:t>Disputed causal/effectiveness force</w:t>
            </w:r>
          </w:p>
        </w:tc>
        <w:tc>
          <w:tcPr>
            <w:tcW w:w="1892" w:type="dxa"/>
          </w:tcPr>
          <w:p w14:paraId="6E1048EB" w14:textId="77777777" w:rsidR="007270D3" w:rsidRDefault="00000000">
            <w:r>
              <w:rPr>
                <w:rFonts w:ascii="Times New Roman" w:hAnsi="Times New Roman"/>
                <w:sz w:val="14"/>
              </w:rPr>
              <w:t>During framing/synthesis, before C</w:t>
            </w:r>
          </w:p>
        </w:tc>
        <w:tc>
          <w:tcPr>
            <w:tcW w:w="1892" w:type="dxa"/>
          </w:tcPr>
          <w:p w14:paraId="01CA5C6E" w14:textId="77777777" w:rsidR="007270D3" w:rsidRDefault="00000000">
            <w:r>
              <w:rPr>
                <w:rFonts w:ascii="Times New Roman" w:hAnsi="Times New Roman"/>
                <w:sz w:val="14"/>
              </w:rPr>
              <w:t>Natural-experiment design; treatment of confounding; ROBINS-I risk-of-bias assessment; synthesis reasoning</w:t>
            </w:r>
          </w:p>
        </w:tc>
        <w:tc>
          <w:tcPr>
            <w:tcW w:w="1892" w:type="dxa"/>
          </w:tcPr>
          <w:p w14:paraId="4B48A195" w14:textId="77777777" w:rsidR="007270D3" w:rsidRDefault="00000000">
            <w:r>
              <w:rPr>
                <w:rFonts w:ascii="Times New Roman" w:hAnsi="Times New Roman"/>
                <w:sz w:val="14"/>
              </w:rPr>
              <w:t>No conclusion-only correction; examine the effectiveness/causal judgement where it entered in S</w:t>
            </w:r>
          </w:p>
        </w:tc>
        <w:tc>
          <w:tcPr>
            <w:tcW w:w="1892" w:type="dxa"/>
          </w:tcPr>
          <w:p w14:paraId="3C6B9EC2" w14:textId="77777777" w:rsidR="007270D3" w:rsidRDefault="00000000">
            <w:r>
              <w:rPr>
                <w:rFonts w:ascii="Times New Roman" w:hAnsi="Times New Roman"/>
                <w:sz w:val="14"/>
              </w:rPr>
              <w:t>Softening only C would leave the earlier inferential judgement unchanged.</w:t>
            </w:r>
          </w:p>
        </w:tc>
      </w:tr>
      <w:tr w:rsidR="007270D3" w14:paraId="2E3A5C82" w14:textId="77777777">
        <w:trPr>
          <w:cantSplit/>
          <w:jc w:val="center"/>
        </w:trPr>
        <w:tc>
          <w:tcPr>
            <w:tcW w:w="1892" w:type="dxa"/>
          </w:tcPr>
          <w:p w14:paraId="773BEDB5" w14:textId="77777777" w:rsidR="007270D3" w:rsidRDefault="00000000">
            <w:r>
              <w:rPr>
                <w:rFonts w:ascii="Times New Roman" w:hAnsi="Times New Roman"/>
                <w:sz w:val="14"/>
              </w:rPr>
              <w:lastRenderedPageBreak/>
              <w:t>Ramos-Vidal &amp; Domínguez de la Ossa (2024)</w:t>
            </w:r>
          </w:p>
        </w:tc>
        <w:tc>
          <w:tcPr>
            <w:tcW w:w="1892" w:type="dxa"/>
          </w:tcPr>
          <w:p w14:paraId="511B3DD3" w14:textId="77777777" w:rsidR="007270D3" w:rsidRDefault="00000000">
            <w:r>
              <w:rPr>
                <w:rFonts w:ascii="Times New Roman" w:hAnsi="Times New Roman"/>
                <w:sz w:val="14"/>
              </w:rPr>
              <w:t>Abstract conclusion: design facilitating interaction is the “main factor” for enhancing sense of community; findings justify design responses</w:t>
            </w:r>
          </w:p>
        </w:tc>
        <w:tc>
          <w:tcPr>
            <w:tcW w:w="1892" w:type="dxa"/>
          </w:tcPr>
          <w:p w14:paraId="1D1FB846" w14:textId="77777777" w:rsidR="007270D3" w:rsidRDefault="00000000">
            <w:r>
              <w:rPr>
                <w:rFonts w:ascii="Times New Roman" w:hAnsi="Times New Roman"/>
                <w:sz w:val="14"/>
              </w:rPr>
              <w:t>Results §3.3 + Methodological factors §4.2: perceived public-space quality is described as a positive effect of slight intensity (Mβ=0.24); walkability as moderate (Mβ=0.22); frequency of use as larger (Mβ=0.50) but based on two studies. The review states that covariance cannot establish causal relationships; effect language already appears before C.</w:t>
            </w:r>
          </w:p>
        </w:tc>
        <w:tc>
          <w:tcPr>
            <w:tcW w:w="1892" w:type="dxa"/>
          </w:tcPr>
          <w:p w14:paraId="64ED0921" w14:textId="77777777" w:rsidR="007270D3" w:rsidRDefault="00000000">
            <w:r>
              <w:rPr>
                <w:rFonts w:ascii="Times New Roman" w:hAnsi="Times New Roman"/>
                <w:sz w:val="14"/>
              </w:rPr>
              <w:t>Causal/effectiveness force entered earlier; comparative primacy (“main factor”) and design/action implication are clearer conclusion-level additions</w:t>
            </w:r>
          </w:p>
        </w:tc>
        <w:tc>
          <w:tcPr>
            <w:tcW w:w="1892" w:type="dxa"/>
          </w:tcPr>
          <w:p w14:paraId="74841D90" w14:textId="77777777" w:rsidR="007270D3" w:rsidRDefault="00000000">
            <w:r>
              <w:rPr>
                <w:rFonts w:ascii="Times New Roman" w:hAnsi="Times New Roman"/>
                <w:sz w:val="14"/>
              </w:rPr>
              <w:t>Causal force: synthesis. Comparative primacy: conclusion unless independently warranted. Design implication: conclusion/implications.</w:t>
            </w:r>
          </w:p>
        </w:tc>
        <w:tc>
          <w:tcPr>
            <w:tcW w:w="1892" w:type="dxa"/>
          </w:tcPr>
          <w:p w14:paraId="0B6F10B5" w14:textId="77777777" w:rsidR="007270D3" w:rsidRDefault="00000000">
            <w:r>
              <w:rPr>
                <w:rFonts w:ascii="Times New Roman" w:hAnsi="Times New Roman"/>
                <w:sz w:val="14"/>
              </w:rPr>
              <w:t>For causal force: study design/appraisal/synthesis reasoning. For primacy: comparative evidence. For design implication: distinct theoretical, practical and decision basis.</w:t>
            </w:r>
          </w:p>
        </w:tc>
        <w:tc>
          <w:tcPr>
            <w:tcW w:w="1892" w:type="dxa"/>
          </w:tcPr>
          <w:p w14:paraId="3EE098BD" w14:textId="77777777" w:rsidR="007270D3" w:rsidRDefault="00000000">
            <w:r>
              <w:rPr>
                <w:rFonts w:ascii="Times New Roman" w:hAnsi="Times New Roman"/>
                <w:sz w:val="14"/>
              </w:rPr>
              <w:t>Examine causal force in S; narrow/revise primacy; separate or clarify the distinct basis for the practical implication</w:t>
            </w:r>
          </w:p>
        </w:tc>
        <w:tc>
          <w:tcPr>
            <w:tcW w:w="1892" w:type="dxa"/>
          </w:tcPr>
          <w:p w14:paraId="49507236" w14:textId="77777777" w:rsidR="007270D3" w:rsidRDefault="00000000">
            <w:r>
              <w:rPr>
                <w:rFonts w:ascii="Times New Roman" w:hAnsi="Times New Roman"/>
                <w:sz w:val="14"/>
              </w:rPr>
              <w:t>Different propositions in the same conclusion have different points of entry and should not receive one global judgement.</w:t>
            </w:r>
          </w:p>
        </w:tc>
      </w:tr>
    </w:tbl>
    <w:p w14:paraId="0FFBA75E" w14:textId="7A8CDDC7" w:rsidR="007270D3" w:rsidRDefault="00000000">
      <w:pPr>
        <w:spacing w:before="140" w:after="100"/>
      </w:pPr>
      <w:r>
        <w:rPr>
          <w:rFonts w:ascii="Times New Roman" w:hAnsi="Times New Roman"/>
          <w:sz w:val="18"/>
        </w:rPr>
        <w:t>Ramos-Vidal source note: §3.1 and §4.2 characterise the review evidence as cross-sectional and state that causal relationships cannot be established, while Table 2 describes Trawalter et al. as including an experimental fourth study. The reconstruction relies on the review’s own synthesis-level causal qualification</w:t>
      </w:r>
      <w:r w:rsidR="00B770FF">
        <w:rPr>
          <w:rFonts w:ascii="Times New Roman" w:hAnsi="Times New Roman"/>
          <w:sz w:val="18"/>
        </w:rPr>
        <w:t>, instead of</w:t>
      </w:r>
      <w:r>
        <w:rPr>
          <w:rFonts w:ascii="Times New Roman" w:hAnsi="Times New Roman"/>
          <w:sz w:val="18"/>
        </w:rPr>
        <w:t xml:space="preserve"> independently reclassifying every primary study.</w:t>
      </w:r>
    </w:p>
    <w:p w14:paraId="44508735" w14:textId="77777777" w:rsidR="007270D3" w:rsidRDefault="00000000">
      <w:pPr>
        <w:spacing w:before="140" w:after="100"/>
      </w:pPr>
      <w:r>
        <w:rPr>
          <w:rFonts w:ascii="Times New Roman" w:hAnsi="Times New Roman"/>
          <w:b/>
          <w:sz w:val="23"/>
        </w:rPr>
        <w:t>Source list</w:t>
      </w:r>
    </w:p>
    <w:p w14:paraId="605FCFB9" w14:textId="2635D6A3" w:rsidR="007270D3" w:rsidRDefault="00000000" w:rsidP="00AD08E6">
      <w:pPr>
        <w:pStyle w:val="ListParagraph"/>
        <w:numPr>
          <w:ilvl w:val="0"/>
          <w:numId w:val="10"/>
        </w:numPr>
        <w:spacing w:after="40" w:line="240" w:lineRule="auto"/>
      </w:pPr>
      <w:r w:rsidRPr="00AD08E6">
        <w:rPr>
          <w:rFonts w:ascii="Times New Roman" w:hAnsi="Times New Roman"/>
          <w:sz w:val="18"/>
        </w:rPr>
        <w:t xml:space="preserve">Clemson L, Stark S, Pighills AC, Fairhall NJ, Lamb SE, Ali J, Sherrington C. Environmental interventions for preventing falls in older people living in the community. Cochrane Database Syst Rev. 2023;2023(3):CD013258. </w:t>
      </w:r>
      <w:proofErr w:type="gramStart"/>
      <w:r w:rsidRPr="00AD08E6">
        <w:rPr>
          <w:rFonts w:ascii="Times New Roman" w:hAnsi="Times New Roman"/>
          <w:sz w:val="18"/>
        </w:rPr>
        <w:t>doi:10.1002/14651858.CD013258.pub2</w:t>
      </w:r>
      <w:proofErr w:type="gramEnd"/>
    </w:p>
    <w:p w14:paraId="56B0D362" w14:textId="0032D2A5" w:rsidR="007270D3" w:rsidRDefault="00000000" w:rsidP="00AD08E6">
      <w:pPr>
        <w:pStyle w:val="ListParagraph"/>
        <w:numPr>
          <w:ilvl w:val="0"/>
          <w:numId w:val="10"/>
        </w:numPr>
        <w:spacing w:after="40" w:line="240" w:lineRule="auto"/>
      </w:pPr>
      <w:r w:rsidRPr="00AD08E6">
        <w:rPr>
          <w:rFonts w:ascii="Times New Roman" w:hAnsi="Times New Roman"/>
          <w:sz w:val="18"/>
        </w:rPr>
        <w:t xml:space="preserve">Bower M, Kent J, Patulny R, et al. The impact of the built environment on loneliness: a systematic review and narrative synthesis. Health Place. </w:t>
      </w:r>
      <w:proofErr w:type="gramStart"/>
      <w:r w:rsidRPr="00AD08E6">
        <w:rPr>
          <w:rFonts w:ascii="Times New Roman" w:hAnsi="Times New Roman"/>
          <w:sz w:val="18"/>
        </w:rPr>
        <w:t>2023;79:102962</w:t>
      </w:r>
      <w:proofErr w:type="gramEnd"/>
      <w:r w:rsidRPr="00AD08E6">
        <w:rPr>
          <w:rFonts w:ascii="Times New Roman" w:hAnsi="Times New Roman"/>
          <w:sz w:val="18"/>
        </w:rPr>
        <w:t xml:space="preserve">. </w:t>
      </w:r>
      <w:proofErr w:type="gramStart"/>
      <w:r w:rsidRPr="00AD08E6">
        <w:rPr>
          <w:rFonts w:ascii="Times New Roman" w:hAnsi="Times New Roman"/>
          <w:sz w:val="18"/>
        </w:rPr>
        <w:t>doi:10.1016/j.healthplace</w:t>
      </w:r>
      <w:proofErr w:type="gramEnd"/>
      <w:r w:rsidRPr="00AD08E6">
        <w:rPr>
          <w:rFonts w:ascii="Times New Roman" w:hAnsi="Times New Roman"/>
          <w:sz w:val="18"/>
        </w:rPr>
        <w:t>.2022.102962</w:t>
      </w:r>
    </w:p>
    <w:p w14:paraId="58AA3503" w14:textId="5E5C3B90" w:rsidR="007270D3" w:rsidRDefault="00000000" w:rsidP="00AD08E6">
      <w:pPr>
        <w:pStyle w:val="ListParagraph"/>
        <w:numPr>
          <w:ilvl w:val="0"/>
          <w:numId w:val="10"/>
        </w:numPr>
        <w:spacing w:after="40" w:line="240" w:lineRule="auto"/>
      </w:pPr>
      <w:r w:rsidRPr="00AD08E6">
        <w:rPr>
          <w:rFonts w:ascii="Times New Roman" w:hAnsi="Times New Roman"/>
          <w:sz w:val="18"/>
        </w:rPr>
        <w:t>Hernández ED, Cobo EA, Cahalin LP, Seron P. Impact of structural-level environmental interventions on physical activity: a systematic review. Int Arch Occup Environ Health. 2023;96(6):815-838. doi:10.1007/s00420-023-01973-w</w:t>
      </w:r>
    </w:p>
    <w:p w14:paraId="14C088D6" w14:textId="4D2882FC" w:rsidR="007270D3" w:rsidRDefault="00000000" w:rsidP="00AD08E6">
      <w:pPr>
        <w:pStyle w:val="ListParagraph"/>
        <w:numPr>
          <w:ilvl w:val="0"/>
          <w:numId w:val="10"/>
        </w:numPr>
        <w:spacing w:after="40" w:line="240" w:lineRule="auto"/>
      </w:pPr>
      <w:r w:rsidRPr="00AD08E6">
        <w:rPr>
          <w:rFonts w:ascii="Times New Roman" w:hAnsi="Times New Roman"/>
          <w:sz w:val="18"/>
        </w:rPr>
        <w:t>Ramos-Vidal I, Domínguez de la Ossa E. A systematic review to determine the role of public space and urban design on sense of community. Int Soc Sci J. 2024;74(252):633-655. doi:10.1111/issj.12472</w:t>
      </w:r>
    </w:p>
    <w:sectPr w:rsidR="007270D3"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4137978"/>
    <w:multiLevelType w:val="hybridMultilevel"/>
    <w:tmpl w:val="70B2F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0251227">
    <w:abstractNumId w:val="8"/>
  </w:num>
  <w:num w:numId="2" w16cid:durableId="1987779257">
    <w:abstractNumId w:val="6"/>
  </w:num>
  <w:num w:numId="3" w16cid:durableId="1340238015">
    <w:abstractNumId w:val="5"/>
  </w:num>
  <w:num w:numId="4" w16cid:durableId="1201550446">
    <w:abstractNumId w:val="4"/>
  </w:num>
  <w:num w:numId="5" w16cid:durableId="1705985200">
    <w:abstractNumId w:val="7"/>
  </w:num>
  <w:num w:numId="6" w16cid:durableId="954287147">
    <w:abstractNumId w:val="3"/>
  </w:num>
  <w:num w:numId="7" w16cid:durableId="980578367">
    <w:abstractNumId w:val="2"/>
  </w:num>
  <w:num w:numId="8" w16cid:durableId="81533335">
    <w:abstractNumId w:val="1"/>
  </w:num>
  <w:num w:numId="9" w16cid:durableId="512963638">
    <w:abstractNumId w:val="0"/>
  </w:num>
  <w:num w:numId="10" w16cid:durableId="1510027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70D3"/>
    <w:rsid w:val="00AA1D8D"/>
    <w:rsid w:val="00AD08E6"/>
    <w:rsid w:val="00B47730"/>
    <w:rsid w:val="00B770FF"/>
    <w:rsid w:val="00B925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9BAE9"/>
  <w14:defaultImageDpi w14:val="300"/>
  <w15:docId w15:val="{F09839B7-6C42-440A-B616-CF65518FF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887</Words>
  <Characters>5060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Qi, Jie</cp:lastModifiedBy>
  <cp:revision>3</cp:revision>
  <dcterms:created xsi:type="dcterms:W3CDTF">2026-09-17T08:54:00Z</dcterms:created>
  <dcterms:modified xsi:type="dcterms:W3CDTF">2026-09-17T08:55:00Z</dcterms:modified>
  <cp:category/>
</cp:coreProperties>
</file>