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 w:eastAsia="Times New Roman"/>
          <w:b w:val="0"/>
          <w:color w:val="000000"/>
          <w:sz w:val="20"/>
        </w:rPr>
        <w:t>21 August 2026</w:t>
      </w:r>
    </w:p>
    <w:p>
      <w:pPr>
        <w:spacing w:after="40"/>
      </w:pPr>
      <w:r>
        <w:rPr>
          <w:rFonts w:ascii="Times New Roman" w:hAnsi="Times New Roman" w:eastAsia="Times New Roman"/>
          <w:b w:val="0"/>
          <w:color w:val="000000"/>
          <w:sz w:val="20"/>
        </w:rPr>
        <w:t>Editor-in-Chief and Editors</w:t>
      </w:r>
    </w:p>
    <w:p>
      <w:pPr>
        <w:spacing w:after="40"/>
      </w:pPr>
      <w:r>
        <w:rPr>
          <w:rFonts w:ascii="Times New Roman" w:hAnsi="Times New Roman" w:eastAsia="Times New Roman"/>
          <w:b w:val="0"/>
          <w:color w:val="000000"/>
          <w:sz w:val="20"/>
        </w:rPr>
        <w:t>The Cerebellum</w:t>
      </w:r>
    </w:p>
    <w:p/>
    <w:p>
      <w:r>
        <w:rPr>
          <w:rFonts w:ascii="Times New Roman" w:hAnsi="Times New Roman" w:eastAsia="Times New Roman"/>
          <w:b w:val="0"/>
          <w:color w:val="000000"/>
          <w:sz w:val="20"/>
        </w:rPr>
        <w:t>Dear Professor Manto and Editors,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I am submitting the manuscript entitled “A Maintenance–Reserve–Gating Framework for Modifier Effects in Hereditary Cerebellar Ataxia” for consideration as a “new ideas, opinion and controversies” article. Following a presubmission inquiry, Springer Nature Publishing Support advised formal submission so that the Editor-in-Chief can assess suitability during initial screening; the support response did not select an article category, and I would welcome editorial reclassification if appropriate.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The manuscript proposes a nested and falsifiable framework for timing heterogeneity in hereditary cerebellar ataxias. Its observable layer tests a prospectively frozen measured exposure score for non-linear, genotype-specific associations with phenoconversion and biomarker trajectories. Its mechanistic extension involving an unknown input, activation/exchange gating, and dynamic reserve is explicitly identified as conjecture and requires independent mediator and perturbation evidence. A statistical hump alone is not presented as evidence for gating.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The work builds directly on established structural and functional concepts of cerebellar reserve and states its narrower novelty as the activation-supply mismatch prediction, the observation model linking dynamic reserve to phenoconversion, and layer-specific rejection rules. SCA3 is proposed as the primary test bed and SCA6 as a stringent transport and heterogeneity test. Known-target early-intervention examples are separated from validation of the unknown-input mechanism and are not treatment recommendations.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The article reports no participant-level data and no new human or animal experiments. It contains three original, programmatically generated figures. Detailed cohort, statistical-analysis, and early-intervention protocol concepts are supplied as supporting research-planning material and are explicitly not clinical protocols ready for implementation.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The manuscript and supporting package have been publicly available in a CC BY-NC 4.0 GitHub repository (https://github.com/jieyangxchen/cerebellar-maintenance-reserve-gating-hypothesis). This history is disclosed transparently for assessment under the journal's prior-publication and preprint policies. The Publishing Support response did not make a journal-specific policy determination, so no prior approval is claimed.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The manuscript is not under consideration by another journal. No acknowledgements are required. No external funding was received. The author declares no competing interests; the repository copyright and possibility of considering future commercial-licensing requests are disclosed in the manuscript. AI-assisted use of OpenAI Codex is also disclosed, and the named author retains full responsibility for source verification, scientific claims, and the submitted version.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Thank you for considering the manuscript.</w:t>
      </w:r>
    </w:p>
    <w:p>
      <w:pPr>
        <w:keepLines/>
        <w:spacing w:before="100" w:after="0"/>
      </w:pPr>
      <w:r>
        <w:rPr>
          <w:rFonts w:ascii="Times New Roman" w:hAnsi="Times New Roman" w:eastAsia="Times New Roman"/>
          <w:b w:val="0"/>
          <w:color w:val="000000"/>
          <w:sz w:val="20"/>
        </w:rPr>
        <w:t>Sincerely,</w:t>
      </w:r>
      <w:r>
        <w:br/>
      </w:r>
      <w:r>
        <w:rPr>
          <w:rFonts w:ascii="Times New Roman" w:hAnsi="Times New Roman" w:eastAsia="Times New Roman"/>
          <w:b w:val="0"/>
          <w:color w:val="000000"/>
          <w:sz w:val="20"/>
        </w:rPr>
        <w:t>Jieyang Chen</w:t>
      </w:r>
      <w:r>
        <w:br/>
      </w:r>
      <w:r>
        <w:rPr>
          <w:rFonts w:ascii="Times New Roman" w:hAnsi="Times New Roman" w:eastAsia="Times New Roman"/>
          <w:b w:val="0"/>
          <w:color w:val="000000"/>
          <w:sz w:val="20"/>
        </w:rPr>
        <w:t>Independent Researcher, Hangzhou, China</w:t>
      </w:r>
      <w:r>
        <w:br/>
      </w:r>
      <w:r>
        <w:rPr>
          <w:rFonts w:ascii="Times New Roman" w:hAnsi="Times New Roman" w:eastAsia="Times New Roman"/>
          <w:b w:val="0"/>
          <w:color w:val="000000"/>
          <w:sz w:val="20"/>
        </w:rPr>
        <w:t>278404704@qq.com</w:t>
      </w:r>
      <w:r>
        <w:br/>
      </w:r>
      <w:r>
        <w:rPr>
          <w:rFonts w:ascii="Times New Roman" w:hAnsi="Times New Roman" w:eastAsia="Times New Roman"/>
          <w:b w:val="0"/>
          <w:color w:val="000000"/>
          <w:sz w:val="20"/>
        </w:rPr>
        <w:t>ORCID: 0009-0001-9247-2085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613" w:left="1440" w:header="706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Times New Roman" w:hAnsi="Times New Roman" w:eastAsia="Times New Roman"/>
        <w:color w:val="666666"/>
        <w:sz w:val="16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Times New Roman" w:hAnsi="Times New Roman" w:eastAsia="Times New Roman"/>
        <w:color w:val="666666"/>
        <w:sz w:val="16"/>
      </w:rPr>
      <w:t>Cover letter | The Cerebellum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60"/>
    </w:pPr>
    <w:rPr>
      <w:rFonts w:ascii="Times New Roman" w:hAnsi="Times New Roman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A Maintenance–Reserve–Gating Framework for Modifier Effects in Hereditary Cerebellar Ataxia</dc:title>
  <dc:subject>Cover letter to The Cerebellum</dc:subject>
  <dc:creator>Jieyang Chen</dc:creator>
  <cp:keywords>Spinocerebellar Ataxias; Cerebellum; Environmental Exposure; Disease Progression; Biomarkers; Genetic Predisposition to Disease</cp:keywords>
  <dc:description>generated by python-docx</dc:description>
  <cp:lastModifiedBy>Jieyang Chen</cp:lastModifiedBy>
  <cp:revision>1</cp:revision>
  <dcterms:created xsi:type="dcterms:W3CDTF">2026-08-21T00:00:00Z</dcterms:created>
  <dcterms:modified xsi:type="dcterms:W3CDTF">2026-08-21T00:00:00Z</dcterms:modified>
  <cp:category/>
</cp:coreProperties>
</file>