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eastAsia="Times New Roman"/>
          <w:b w:val="0"/>
          <w:color w:val="000000"/>
          <w:sz w:val="20"/>
        </w:rPr>
        <w:t>1 September 2026</w:t>
      </w:r>
    </w:p>
    <w:p>
      <w:pPr>
        <w:spacing w:after="40"/>
      </w:pPr>
      <w:r>
        <w:rPr>
          <w:rFonts w:ascii="Times New Roman" w:hAnsi="Times New Roman" w:eastAsia="Times New Roman"/>
          <w:b w:val="0"/>
          <w:color w:val="000000"/>
          <w:sz w:val="20"/>
        </w:rPr>
        <w:t>Editor-in-Chief and Editors</w:t>
      </w:r>
    </w:p>
    <w:p>
      <w:pPr>
        <w:spacing w:after="40"/>
      </w:pPr>
      <w:r>
        <w:rPr>
          <w:rFonts w:ascii="Times New Roman" w:hAnsi="Times New Roman" w:eastAsia="Times New Roman"/>
          <w:b w:val="0"/>
          <w:color w:val="000000"/>
          <w:sz w:val="20"/>
        </w:rPr>
        <w:t>Medical Hypotheses</w:t>
      </w:r>
    </w:p>
    <w:p/>
    <w:p>
      <w:r>
        <w:rPr>
          <w:rFonts w:ascii="Times New Roman" w:hAnsi="Times New Roman" w:eastAsia="Times New Roman"/>
          <w:b w:val="0"/>
          <w:color w:val="000000"/>
          <w:sz w:val="20"/>
        </w:rPr>
        <w:t>Dear Editor-in-Chief and Editors,</w:t>
      </w:r>
    </w:p>
    <w:p>
      <w:pPr>
        <w:jc w:val="both"/>
      </w:pPr>
      <w:r>
        <w:rPr>
          <w:rFonts w:ascii="Times New Roman" w:hAnsi="Times New Roman" w:eastAsia="Times New Roman"/>
          <w:b w:val="0"/>
          <w:color w:val="000000"/>
          <w:sz w:val="20"/>
        </w:rPr>
        <w:t>I am submitting the manuscript entitled “The Maintenance–Reserve–Gating Hypothesis of Hereditary Cerebellar Ataxia” for consideration as a hypothesis article in Medical Hypotheses.</w:t>
      </w:r>
    </w:p>
    <w:p>
      <w:pPr>
        <w:jc w:val="both"/>
      </w:pPr>
      <w:r>
        <w:rPr>
          <w:rFonts w:ascii="Times New Roman" w:hAnsi="Times New Roman" w:eastAsia="Times New Roman"/>
          <w:b w:val="0"/>
          <w:color w:val="000000"/>
          <w:sz w:val="20"/>
        </w:rPr>
        <w:t>The article proposes a nested, falsifiable explanation for timing heterogeneity in hereditary cerebellar ataxia. Its directly testable layer asks whether one outcome-blind, prospectively frozen measured exposure score shows a reproducible non-linear and genotype-specific association with phenoconversion and biomarker trajectories. Its optional mechanistic extension posits an unidentified input, activation/exchange gating, and dynamic reserve. The manuscript states explicitly that a statistical hump alone would not demonstrate gating.</w:t>
      </w:r>
    </w:p>
    <w:p>
      <w:pPr>
        <w:jc w:val="both"/>
      </w:pPr>
      <w:r>
        <w:rPr>
          <w:rFonts w:ascii="Times New Roman" w:hAnsi="Times New Roman" w:eastAsia="Times New Roman"/>
          <w:b w:val="0"/>
          <w:color w:val="000000"/>
          <w:sz w:val="20"/>
        </w:rPr>
        <w:t>The hypothesis builds on established structural and functional concepts of cerebellar reserve. Its narrower novelty is the proposed activation–supply mismatch, the observation model linking dynamic reserve to phenoconversion, and layer-specific rejection rules. SCA3 is the primary proposed test bed and SCA6 a stringent transport test. The full protocol and statistical-analysis concepts remain in the public repository rather than being presented as validated methods or implementation-ready trials.</w:t>
      </w:r>
    </w:p>
    <w:p>
      <w:pPr>
        <w:jc w:val="both"/>
      </w:pPr>
      <w:r>
        <w:rPr>
          <w:rFonts w:ascii="Times New Roman" w:hAnsi="Times New Roman" w:eastAsia="Times New Roman"/>
          <w:b w:val="0"/>
          <w:color w:val="000000"/>
          <w:sz w:val="20"/>
        </w:rPr>
        <w:t>The article reports no participant-level data and no new human or animal experiments. Current evidence supports component premises but does not demonstrate the unknown input, a gate, outward loss, or a hump-shaped human exposure curve. Those limitations, competing explanations, and results that would reject each layer are stated in the abstract and main text. The manuscript is a research hypothesis, not a treatment recommendation.</w:t>
      </w:r>
    </w:p>
    <w:p>
      <w:pPr>
        <w:jc w:val="both"/>
      </w:pPr>
      <w:r>
        <w:rPr>
          <w:rFonts w:ascii="Times New Roman" w:hAnsi="Times New Roman" w:eastAsia="Times New Roman"/>
          <w:b w:val="0"/>
          <w:color w:val="000000"/>
          <w:sz w:val="20"/>
        </w:rPr>
        <w:t>The submission package follows double-anonymized review requirements: the reviewer manuscript omits author identity, affiliation, contact details, ORCID, acknowledgements, named CRediT attribution, and the identifying repository URL. Its Word metadata has also been scrubbed. The title page, Highlights, CRediT statement, Declaration of Interest, and Ethics statement are supplied separately.</w:t>
      </w:r>
    </w:p>
    <w:p>
      <w:pPr>
        <w:jc w:val="both"/>
      </w:pPr>
      <w:r>
        <w:rPr>
          <w:rFonts w:ascii="Times New Roman" w:hAnsi="Times New Roman" w:eastAsia="Times New Roman"/>
          <w:b w:val="0"/>
          <w:color w:val="000000"/>
          <w:sz w:val="20"/>
        </w:rPr>
        <w:t>A preprint and supporting research-planning package are publicly available under a non-commercial licence at https://github.com/jieyangxchen/cerebellar-maintenance-reserve-gating-hypothesis. This history is disclosed transparently. The version submitted here is not under consideration by another journal.</w:t>
      </w:r>
    </w:p>
    <w:p>
      <w:pPr>
        <w:jc w:val="both"/>
      </w:pPr>
      <w:r>
        <w:rPr>
          <w:rFonts w:ascii="Times New Roman" w:hAnsi="Times New Roman" w:eastAsia="Times New Roman"/>
          <w:b w:val="0"/>
          <w:color w:val="000000"/>
          <w:sz w:val="20"/>
        </w:rPr>
        <w:t>No external funding was received. The author declares no competing interests and no acknowledgements. The manuscript includes a declaration of the use of OpenAI Codex during preparation; the named author has reviewed the complete article and takes full responsibility for all scientific claims, references, figures, and wording.</w:t>
      </w:r>
    </w:p>
    <w:p>
      <w:pPr>
        <w:jc w:val="both"/>
      </w:pPr>
      <w:r>
        <w:rPr>
          <w:rFonts w:ascii="Times New Roman" w:hAnsi="Times New Roman" w:eastAsia="Times New Roman"/>
          <w:b w:val="0"/>
          <w:color w:val="000000"/>
          <w:sz w:val="20"/>
        </w:rPr>
        <w:t>Thank you for considering this hypothesis.</w:t>
      </w:r>
    </w:p>
    <w:p>
      <w:pPr>
        <w:keepLines/>
        <w:spacing w:before="100" w:after="0"/>
      </w:pPr>
      <w:r>
        <w:rPr>
          <w:rFonts w:ascii="Times New Roman" w:hAnsi="Times New Roman" w:eastAsia="Times New Roman"/>
          <w:b w:val="0"/>
          <w:color w:val="000000"/>
          <w:sz w:val="20"/>
        </w:rPr>
        <w:t>Sincerely,</w:t>
      </w:r>
      <w:r>
        <w:br/>
      </w:r>
      <w:r>
        <w:rPr>
          <w:rFonts w:ascii="Times New Roman" w:hAnsi="Times New Roman" w:eastAsia="Times New Roman"/>
          <w:b w:val="0"/>
          <w:color w:val="000000"/>
          <w:sz w:val="20"/>
        </w:rPr>
        <w:t>Jieyang Chen</w:t>
      </w:r>
      <w:r>
        <w:br/>
      </w:r>
      <w:r>
        <w:rPr>
          <w:rFonts w:ascii="Times New Roman" w:hAnsi="Times New Roman" w:eastAsia="Times New Roman"/>
          <w:b w:val="0"/>
          <w:color w:val="000000"/>
          <w:sz w:val="20"/>
        </w:rPr>
        <w:t>Independent Researcher, Hangzhou, China</w:t>
      </w:r>
      <w:r>
        <w:br/>
      </w:r>
      <w:r>
        <w:rPr>
          <w:rFonts w:ascii="Times New Roman" w:hAnsi="Times New Roman" w:eastAsia="Times New Roman"/>
          <w:b w:val="0"/>
          <w:color w:val="000000"/>
          <w:sz w:val="20"/>
        </w:rPr>
        <w:t>278404704@qq.com</w:t>
      </w:r>
      <w:r>
        <w:br/>
      </w:r>
      <w:r>
        <w:rPr>
          <w:rFonts w:ascii="Times New Roman" w:hAnsi="Times New Roman" w:eastAsia="Times New Roman"/>
          <w:b w:val="0"/>
          <w:color w:val="000000"/>
          <w:sz w:val="20"/>
        </w:rPr>
        <w:t>ORCID: 0009-0001-9247-2085</w:t>
      </w:r>
    </w:p>
    <w:sectPr>
      <w:headerReference w:type="default" r:id="rId9"/>
      <w:footerReference w:type="default" r:id="rId10"/>
      <w:pgSz w:w="12240" w:h="15840"/>
      <w:pgMar w:top="1440" w:right="1440" w:bottom="1613" w:left="1440" w:header="706"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right="0"/>
      <w:jc w:val="center"/>
    </w:pPr>
    <w:r>
      <w:rPr>
        <w:rFonts w:ascii="Times New Roman" w:hAnsi="Times New Roman" w:eastAsia="Times New Roman"/>
        <w:color w:val="666666"/>
        <w:sz w:val="16"/>
      </w:rPr>
      <w:t xml:space="preserve"/>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Times New Roman"/>
        <w:color w:val="666666"/>
        <w:sz w:val="16"/>
      </w:rPr>
      <w:t>Cover letter | Medical Hypotheses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eastAsia="Times New Roman"/>
      <w:b/>
      <w:bCs/>
      <w:i/>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Times New Roman" w:hAnsi="Times New Roman"/>
      <w:sz w:val="20"/>
    </w:rPr>
  </w:style>
  <w:style w:type="paragraph" w:styleId="ListBullet2">
    <w:name w:val="List Bullet 2"/>
    <w:basedOn w:val="Normal"/>
    <w:uiPriority w:val="99"/>
    <w:unhideWhenUsed/>
    <w:rsid w:val="00326F90"/>
    <w:pPr>
      <w:numPr>
        <w:numId w:val="2"/>
      </w:numPr>
      <w:spacing w:after="60" w:line="276" w:lineRule="auto"/>
      <w:contextualSpacing/>
    </w:pPr>
    <w:rPr>
      <w:rFonts w:ascii="Times New Roman" w:hAnsi="Times New Roman"/>
      <w:sz w:val="20"/>
    </w:rPr>
  </w:style>
  <w:style w:type="paragraph" w:styleId="ListBullet3">
    <w:name w:val="List Bullet 3"/>
    <w:basedOn w:val="Normal"/>
    <w:uiPriority w:val="99"/>
    <w:unhideWhenUsed/>
    <w:rsid w:val="00326F90"/>
    <w:pPr>
      <w:numPr>
        <w:numId w:val="3"/>
      </w:numPr>
      <w:spacing w:after="60" w:line="276" w:lineRule="auto"/>
      <w:contextualSpacing/>
    </w:pPr>
    <w:rPr>
      <w:rFonts w:ascii="Times New Roman" w:hAnsi="Times New Roman"/>
      <w:sz w:val="20"/>
    </w:rPr>
  </w:style>
  <w:style w:type="paragraph" w:styleId="ListNumber">
    <w:name w:val="List Number"/>
    <w:basedOn w:val="Normal"/>
    <w:uiPriority w:val="99"/>
    <w:unhideWhenUsed/>
    <w:rsid w:val="00326F90"/>
    <w:pPr>
      <w:numPr>
        <w:numId w:val="5"/>
      </w:numPr>
      <w:spacing w:after="60" w:line="276" w:lineRule="auto"/>
      <w:contextualSpacing/>
    </w:pPr>
    <w:rPr>
      <w:rFonts w:ascii="Times New Roman" w:hAnsi="Times New Roman"/>
      <w:sz w:val="20"/>
    </w:rPr>
  </w:style>
  <w:style w:type="paragraph" w:styleId="ListNumber2">
    <w:name w:val="List Number 2"/>
    <w:basedOn w:val="Normal"/>
    <w:uiPriority w:val="99"/>
    <w:unhideWhenUsed/>
    <w:rsid w:val="0029639D"/>
    <w:pPr>
      <w:numPr>
        <w:numId w:val="6"/>
      </w:numPr>
      <w:spacing w:after="60" w:line="276" w:lineRule="auto"/>
      <w:contextualSpacing/>
    </w:pPr>
    <w:rPr>
      <w:rFonts w:ascii="Times New Roman" w:hAnsi="Times New Roman"/>
      <w:sz w:val="20"/>
    </w:rPr>
  </w:style>
  <w:style w:type="paragraph" w:styleId="ListNumber3">
    <w:name w:val="List Number 3"/>
    <w:basedOn w:val="Normal"/>
    <w:uiPriority w:val="99"/>
    <w:unhideWhenUsed/>
    <w:rsid w:val="0029639D"/>
    <w:pPr>
      <w:numPr>
        <w:numId w:val="7"/>
      </w:numPr>
      <w:spacing w:after="60" w:line="276" w:lineRule="auto"/>
      <w:contextualSpacing/>
    </w:pPr>
    <w:rPr>
      <w:rFonts w:ascii="Times New Roman" w:hAnsi="Times New Roman"/>
      <w:sz w:val="20"/>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160"/>
    </w:pPr>
    <w:rPr>
      <w:rFonts w:ascii="Times New Roman" w:hAnsi="Times New Roman"/>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The Maintenance–Reserve–Gating Hypothesis of Hereditary Cerebellar Ataxia</dc:title>
  <dc:subject>Cover letter to Medical Hypotheses</dc:subject>
  <dc:creator/>
  <cp:keywords>Spinocerebellar Ataxias; Cerebellum; Environmental Exposure; Disease Progression; Biomarkers; Genetic Predisposition to Disease</cp:keywords>
  <dc:description>generated by python-docx</dc:description>
  <cp:lastModifiedBy/>
  <cp:revision>1</cp:revision>
  <dcterms:created xsi:type="dcterms:W3CDTF">2026-09-01T00:00:00Z</dcterms:created>
  <dcterms:modified xsi:type="dcterms:W3CDTF">2026-09-01T00:00:00Z</dcterms:modified>
  <cp:category/>
</cp:coreProperties>
</file>