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Highlights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>The Maintenance–Reserve–Gating Hypothesis of Hereditary Cerebellar Ataxia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0"/>
        </w:rPr>
        <w:t>A two-layer model separates measurable modifiers from an unobserved mechanism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0"/>
        </w:rPr>
        <w:t>Intermediate exposure may deplete reserve more than very low or high exposure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0"/>
        </w:rPr>
        <w:t>Prospective tests separate non-linear association from a causal mechanism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0"/>
        </w:rPr>
        <w:t>Early reversible intervention is restricted to known biological targets</w:t>
      </w:r>
    </w:p>
    <w:sectPr>
      <w:headerReference w:type="default" r:id="rId9"/>
      <w:footerReference w:type="default" r:id="rId10"/>
      <w:pgSz w:w="12240" w:h="15840"/>
      <w:pgMar w:top="1440" w:right="1440" w:bottom="1613" w:left="1440" w:header="706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right="0"/>
      <w:jc w:val="center"/>
    </w:pPr>
    <w:r>
      <w:rPr>
        <w:rFonts w:ascii="Times New Roman" w:hAnsi="Times New Roman" w:eastAsia="Times New Roman"/>
        <w:color w:val="666666"/>
        <w:sz w:val="16"/>
      </w:rPr>
      <w:t xml:space="preserve"/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color w:val="666666"/>
        <w:sz w:val="16"/>
      </w:rPr>
      <w:t>Highlights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</w:pPr>
    <w:rPr>
      <w:rFonts w:ascii="Times New Roman" w:hAnsi="Times New Roman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 - The Maintenance–Reserve–Gating Hypothesis of Hereditary Cerebellar Ataxia</dc:title>
  <dc:subject>Highlights for Medical Hypotheses</dc:subject>
  <dc:creator/>
  <cp:keywords>Spinocerebellar Ataxias; Cerebellum; Environmental Exposure; Disease Progression; Biomarkers; Genetic Predisposition to Disease</cp:keywords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