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CRediT author statement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The Maintenance–Reserve–Gating Hypothesis of Hereditary Cerebellar Ataxia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Jieyang Chen: Conceptualization; Methodology; Investigation; Data curation; Software; Visualization; Writing – original draft; Writing – review &amp; editing; Project administration.</w:t>
      </w:r>
    </w:p>
    <w:sectPr>
      <w:headerReference w:type="default" r:id="rId9"/>
      <w:footerReference w:type="default" r:id="rId10"/>
      <w:pgSz w:w="12240" w:h="15840"/>
      <w:pgMar w:top="1440" w:right="1440" w:bottom="1613" w:left="1440" w:header="70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right="0"/>
      <w:jc w:val="center"/>
    </w:pPr>
    <w:r>
      <w:rPr>
        <w:rFonts w:ascii="Times New Roman" w:hAnsi="Times New Roman" w:eastAsia="Times New Roman"/>
        <w:color w:val="666666"/>
        <w:sz w:val="16"/>
      </w:rPr>
      <w:t xml:space="preserve"/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666666"/>
        <w:sz w:val="16"/>
      </w:rPr>
      <w:t>CRediT author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author statement - The Maintenance–Reserve–Gating Hypothesis of Hereditary Cerebellar Ataxia</dc:title>
  <dc:subject>Contributor role statement</dc:subject>
  <dc:creator/>
  <cp:keywords>Spinocerebellar Ataxias; Cerebellum; Environmental Exposure; Disease Progression; Biomarkers; Genetic Predisposition to Disease</cp:keywords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