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A Maintenance–Reserve–Gating Framework for Modifier Effects in Hereditary Cerebellar Ataxia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Jieyang Chen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ORCID: 0009-0001-9247-2085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Independent Researcher, Hangzhou, China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Corresponding author: Jieyang Chen | 278404704@qq.com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Running title: </w:t>
      </w:r>
      <w:r>
        <w:rPr>
          <w:rFonts w:ascii="Times New Roman" w:hAnsi="Times New Roman" w:eastAsia="Times New Roman"/>
          <w:b w:val="0"/>
          <w:color w:val="000000"/>
          <w:sz w:val="20"/>
        </w:rPr>
        <w:t>Maintenance–reserve–gating framework in hereditary ataxia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Article status: </w:t>
      </w:r>
      <w:r>
        <w:rPr>
          <w:rFonts w:ascii="Times New Roman" w:hAnsi="Times New Roman" w:eastAsia="Times New Roman"/>
          <w:b w:val="0"/>
          <w:color w:val="000000"/>
          <w:sz w:val="20"/>
        </w:rPr>
        <w:t>Theoretical framework and critical review; no original participant-level or animal research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Manuscript version: </w:t>
      </w:r>
      <w:r>
        <w:rPr>
          <w:rFonts w:ascii="Times New Roman" w:hAnsi="Times New Roman" w:eastAsia="Times New Roman"/>
          <w:b w:val="0"/>
          <w:color w:val="000000"/>
          <w:sz w:val="20"/>
        </w:rPr>
        <w:t>0.2.1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Evidence cut-off: </w:t>
      </w:r>
      <w:r>
        <w:rPr>
          <w:rFonts w:ascii="Times New Roman" w:hAnsi="Times New Roman" w:eastAsia="Times New Roman"/>
          <w:b w:val="0"/>
          <w:color w:val="000000"/>
          <w:sz w:val="20"/>
        </w:rPr>
        <w:t>19 August 2026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Public repository: </w:t>
      </w:r>
      <w:r>
        <w:rPr>
          <w:rFonts w:ascii="Times New Roman" w:hAnsi="Times New Roman" w:eastAsia="Times New Roman"/>
          <w:b w:val="0"/>
          <w:color w:val="000000"/>
          <w:sz w:val="20"/>
        </w:rPr>
        <w:t>https://github.com/jieyangxchen/cerebellar-maintenance-reserve-gating-hypothesis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Funding: </w:t>
      </w:r>
      <w:r>
        <w:rPr>
          <w:rFonts w:ascii="Times New Roman" w:hAnsi="Times New Roman" w:eastAsia="Times New Roman"/>
          <w:b w:val="0"/>
          <w:color w:val="000000"/>
          <w:sz w:val="20"/>
        </w:rPr>
        <w:t>No external funding was received for this work.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Competing interests: </w:t>
      </w:r>
      <w:r>
        <w:rPr>
          <w:rFonts w:ascii="Times New Roman" w:hAnsi="Times New Roman" w:eastAsia="Times New Roman"/>
          <w:b w:val="0"/>
          <w:color w:val="000000"/>
          <w:sz w:val="20"/>
        </w:rPr>
        <w:t>The author declares no competing interests. The author retains copyright in the associated public repository and may consider future commercial-licensing requests. No commercial funding or payment was received for this work.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Author contribution: </w:t>
      </w:r>
      <w:r>
        <w:rPr>
          <w:rFonts w:ascii="Times New Roman" w:hAnsi="Times New Roman" w:eastAsia="Times New Roman"/>
          <w:b w:val="0"/>
          <w:color w:val="000000"/>
          <w:sz w:val="20"/>
        </w:rPr>
        <w:t>Jieyang Chen conceived the framework, performed the literature organization and claim audit, designed the proposed research programme, prepared the figures and reproducibility materials, and drafted and revised the manuscript.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AI-assisted tools: </w:t>
      </w:r>
      <w:r>
        <w:rPr>
          <w:rFonts w:ascii="Times New Roman" w:hAnsi="Times New Roman" w:eastAsia="Times New Roman"/>
          <w:b w:val="0"/>
          <w:color w:val="000000"/>
          <w:sz w:val="20"/>
        </w:rPr>
        <w:t>OpenAI Codex assisted with literature organization, drafting and language editing, figure and repository-check code, and internal consistency review. It is not an author; the named author remains responsible for the submitted work.</w:t>
      </w:r>
    </w:p>
    <w:p>
      <w:pPr>
        <w:spacing w:before="160"/>
      </w:pPr>
      <w:r>
        <w:rPr>
          <w:rFonts w:ascii="Times New Roman" w:hAnsi="Times New Roman" w:eastAsia="Times New Roman"/>
          <w:i/>
          <w:color w:val="555555"/>
          <w:sz w:val="18"/>
        </w:rPr>
        <w:t>Private portal note: enter a full postal correspondence address if the journal system makes it mandatory; it is intentionally not included in the public repository package.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613" w:left="1440" w:header="706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/>
        <w:color w:val="666666"/>
        <w:sz w:val="16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color w:val="666666"/>
        <w:sz w:val="16"/>
      </w:rPr>
      <w:t>Title page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60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- A Maintenance–Reserve–Gating Framework for Modifier Effects in Hereditary Cerebellar Ataxia</dc:title>
  <dc:subject>Separate submission title page</dc:subject>
  <dc:creator>Jieyang Chen</dc:creator>
  <cp:keywords>spinocerebellar ataxia; cerebellar reserve; phenoconversion; biomarkers</cp:keywords>
  <dc:description>generated by python-docx</dc:description>
  <cp:lastModifiedBy>Jieyang Chen</cp:lastModifiedBy>
  <cp:revision>1</cp:revision>
  <dcterms:created xsi:type="dcterms:W3CDTF">2026-08-19T00:00:00Z</dcterms:created>
  <dcterms:modified xsi:type="dcterms:W3CDTF">2026-08-19T00:00:00Z</dcterms:modified>
  <cp:category/>
</cp:coreProperties>
</file>