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000000"/>
          <w:sz w:val="28"/>
        </w:rPr>
        <w:t>Supplementary Methods and Protocol Concepts</w:t>
      </w:r>
    </w:p>
    <w:p>
      <w:pPr>
        <w:spacing w:after="80"/>
        <w:jc w:val="center"/>
      </w:pPr>
      <w:r>
        <w:rPr>
          <w:rFonts w:ascii="Times New Roman" w:hAnsi="Times New Roman" w:eastAsia="Times New Roman"/>
          <w:b w:val="0"/>
          <w:i/>
          <w:color w:val="000000"/>
          <w:sz w:val="22"/>
        </w:rPr>
        <w:t>A Maintenance–Reserve–Gating Framework for Modifier Effects in Hereditary Cerebellar Ataxia</w:t>
      </w:r>
    </w:p>
    <w:p>
      <w:pPr>
        <w:spacing w:after="200"/>
        <w:jc w:val="center"/>
      </w:pPr>
      <w:r>
        <w:rPr>
          <w:rFonts w:ascii="Times New Roman" w:hAnsi="Times New Roman" w:eastAsia="Times New Roman"/>
          <w:b w:val="0"/>
          <w:i w:val="0"/>
          <w:color w:val="000000"/>
          <w:sz w:val="19"/>
        </w:rPr>
        <w:t>Version 0.2.1 | Evidence cut-off 19 August 2026</w:t>
      </w:r>
    </w:p>
    <w:p>
      <w:pPr>
        <w:spacing w:before="120" w:after="200"/>
        <w:ind w:left="360" w:right="360"/>
      </w:pPr>
      <w:r>
        <w:rPr>
          <w:rFonts w:ascii="Times New Roman" w:hAnsi="Times New Roman" w:eastAsia="Times New Roman"/>
          <w:b/>
          <w:color w:val="9C3F50"/>
          <w:sz w:val="19"/>
        </w:rPr>
        <w:t>Safety and status notice. These documents are prospective research-planning concepts. They have no sponsor authorization, regulatory approval, ethics approval, trial registration, investigational-product specification, or clinical-use authority. They do not justify self-treatment, exposure escalation, stimulation, medication, gene manipulation, or neural injury.</w:t>
      </w:r>
    </w:p>
    <w:p>
      <w:pPr>
        <w:spacing w:after="80"/>
        <w:jc w:val="center"/>
      </w:pPr>
      <w:r>
        <w:rPr>
          <w:rFonts w:ascii="Times New Roman" w:hAnsi="Times New Roman" w:eastAsia="Times New Roman"/>
          <w:b w:val="0"/>
          <w:i w:val="0"/>
          <w:color w:val="000000"/>
          <w:sz w:val="18"/>
        </w:rPr>
        <w:t>Canonical public sources: https://github.com/jieyangxchen/cerebellar-maintenance-reserve-gating-hypothesis</w:t>
      </w:r>
    </w:p>
    <w:p>
      <w:pPr>
        <w:pStyle w:val="Heading1"/>
        <w:pageBreakBefore/>
      </w:pPr>
      <w:r>
        <w:rPr>
          <w:rFonts w:ascii="Times New Roman" w:hAnsi="Times New Roman" w:eastAsia="Times New Roman"/>
          <w:b/>
          <w:color w:val="000000"/>
          <w:sz w:val="24"/>
        </w:rPr>
        <w:t>Prospective SCA3-Led Maintenance–Reserve–Gating Cohort Protocol with SCA6 Transport Testing</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Protocol identifier:</w:t>
      </w:r>
      <w:r>
        <w:rPr>
          <w:rFonts w:ascii="Times New Roman" w:hAnsi="Times New Roman" w:eastAsia="Times New Roman"/>
          <w:b w:val="0"/>
          <w:color w:val="000000"/>
          <w:sz w:val="20"/>
        </w:rPr>
        <w:t xml:space="preserve"> MRG-SCA-NHS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Version:</w:t>
      </w:r>
      <w:r>
        <w:rPr>
          <w:rFonts w:ascii="Times New Roman" w:hAnsi="Times New Roman" w:eastAsia="Times New Roman"/>
          <w:b w:val="0"/>
          <w:color w:val="000000"/>
          <w:sz w:val="20"/>
        </w:rPr>
        <w:t xml:space="preserve"> 1.1</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Date:</w:t>
      </w:r>
      <w:r>
        <w:rPr>
          <w:rFonts w:ascii="Times New Roman" w:hAnsi="Times New Roman" w:eastAsia="Times New Roman"/>
          <w:b w:val="0"/>
          <w:color w:val="000000"/>
          <w:sz w:val="20"/>
        </w:rPr>
        <w:t xml:space="preserve"> 18 August 2026</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Design:</w:t>
      </w:r>
      <w:r>
        <w:rPr>
          <w:rFonts w:ascii="Times New Roman" w:hAnsi="Times New Roman" w:eastAsia="Times New Roman"/>
          <w:b w:val="0"/>
          <w:color w:val="000000"/>
          <w:sz w:val="20"/>
        </w:rPr>
        <w:t xml:space="preserve"> Five-year, multicentre, prospective, genotype-stratified natural-history and environmental-exposure cohort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Registration:</w:t>
      </w:r>
      <w:r>
        <w:rPr>
          <w:rFonts w:ascii="Times New Roman" w:hAnsi="Times New Roman" w:eastAsia="Times New Roman"/>
          <w:b w:val="0"/>
          <w:color w:val="000000"/>
          <w:sz w:val="20"/>
        </w:rPr>
        <w:t xml:space="preserve"> The final protocol, exposure specification memorandum, statistical analysis plan, data dictionary, and amendment log will be registered before outcome data are released to the confirmatory analysis team. The observational study will also be registered in a public clinical-study registry using the ClinicalTrials.gov observational-study data elements.</w:t>
      </w:r>
    </w:p>
    <w:p>
      <w:pPr>
        <w:pStyle w:val="Heading2"/>
      </w:pPr>
      <w:r>
        <w:rPr>
          <w:rFonts w:ascii="Times New Roman" w:hAnsi="Times New Roman" w:eastAsia="Times New Roman"/>
          <w:b/>
          <w:color w:val="000000"/>
          <w:sz w:val="22"/>
        </w:rPr>
        <w:t>Scientific and clinical boundary</w:t>
      </w:r>
    </w:p>
    <w:p>
      <w:pPr>
        <w:keepLines w:val="0"/>
        <w:jc w:val="both"/>
      </w:pPr>
      <w:r>
        <w:rPr>
          <w:rFonts w:ascii="Times New Roman" w:hAnsi="Times New Roman" w:eastAsia="Times New Roman"/>
          <w:b w:val="0"/>
          <w:color w:val="000000"/>
          <w:sz w:val="20"/>
        </w:rPr>
        <w:t xml:space="preserve">This protocol does not assume that an unknown external maintenance factor has been observed. It tests a bounded, independently measured candidate exposure and a prespecified pattern of association. </w:t>
      </w:r>
      <m:oMath>
        <m:r>
          <m:rPr>
            <m:nor/>
          </m:rPr>
          <m:t>E</m:t>
        </m:r>
        <m:r>
          <m:rPr>
            <m:nor/>
          </m:rPr>
          <m:t>*</m:t>
        </m:r>
      </m:oMath>
      <w:r>
        <w:rPr>
          <w:rFonts w:ascii="Times New Roman" w:hAnsi="Times New Roman" w:eastAsia="Times New Roman"/>
          <w:b w:val="0"/>
          <w:color w:val="000000"/>
          <w:sz w:val="20"/>
        </w:rPr>
        <w:t xml:space="preserve"> denotes the selected measured exposure operationalization; </w:t>
      </w:r>
      <m:oMath>
        <m:r>
          <m:rPr>
            <m:nor/>
          </m:rPr>
          <m:t>S</m:t>
        </m:r>
        <m:r>
          <m:rPr>
            <m:nor/>
          </m:rPr>
          <m:t>*</m:t>
        </m:r>
        <m:r>
          <m:rPr>
            <m:nor/>
          </m:rPr>
          <m:t>=</m:t>
        </m:r>
        <m:r>
          <m:rPr>
            <m:nor/>
          </m:rPr>
          <m:t>h</m:t>
        </m:r>
        <m:r>
          <m:rPr>
            <m:nor/>
          </m:rPr>
          <m:t>(</m:t>
        </m:r>
        <m:r>
          <m:rPr>
            <m:nor/>
          </m:rPr>
          <m:t>E</m:t>
        </m:r>
        <m:r>
          <m:rPr>
            <m:nor/>
          </m:rPr>
          <m:t>*</m:t>
        </m:r>
        <m:r>
          <m:rPr>
            <m:nor/>
          </m:rPr>
          <m:t>;</m:t>
        </m:r>
        <m:r>
          <m:rPr>
            <m:nor/>
          </m:rPr>
          <m:t>θ</m:t>
        </m:r>
        <m:r>
          <m:rPr>
            <m:nor/>
          </m:rPr>
          <m:t>)</m:t>
        </m:r>
      </m:oMath>
      <w:r>
        <w:rPr>
          <w:rFonts w:ascii="Times New Roman" w:hAnsi="Times New Roman" w:eastAsia="Times New Roman"/>
          <w:b w:val="0"/>
          <w:color w:val="000000"/>
          <w:sz w:val="20"/>
        </w:rPr>
        <w:t xml:space="preserve"> denotes its outcome-blind, frozen analytic score. Neither is the hypothetical biological input </w:t>
      </w:r>
      <m:oMath>
        <m:r>
          <m:rPr>
            <m:nor/>
          </m:rPr>
          <m:t>X</m:t>
        </m:r>
      </m:oMath>
      <w:r>
        <w:rPr>
          <w:rFonts w:ascii="Times New Roman" w:hAnsi="Times New Roman" w:eastAsia="Times New Roman"/>
          <w:b w:val="0"/>
          <w:color w:val="000000"/>
          <w:sz w:val="20"/>
        </w:rPr>
        <w:t xml:space="preserve">. A positive result would support a non-linear environmental association for that operationalization; it would not identify a new substance, establish the proposed gate or reserve as a physical entity, prove causality, validate a surrogate endpoint, or justify changing an individual's environmental exposure. No intervention in this cohort targets </w:t>
      </w:r>
      <m:oMath>
        <m:r>
          <m:rPr>
            <m:nor/>
          </m:rPr>
          <m:t>X</m:t>
        </m:r>
      </m:oMath>
      <w:r>
        <w:rPr>
          <w:rFonts w:ascii="Times New Roman" w:hAnsi="Times New Roman" w:eastAsia="Times New Roman"/>
          <w:b w:val="0"/>
          <w:color w:val="000000"/>
          <w:sz w:val="20"/>
        </w:rPr>
        <w:t>.</w:t>
      </w:r>
    </w:p>
    <w:p>
      <w:pPr>
        <w:pStyle w:val="Heading2"/>
      </w:pPr>
      <w:r>
        <w:rPr>
          <w:rFonts w:ascii="Times New Roman" w:hAnsi="Times New Roman" w:eastAsia="Times New Roman"/>
          <w:b/>
          <w:color w:val="000000"/>
          <w:sz w:val="22"/>
        </w:rPr>
        <w:t>Synopsis</w:t>
      </w:r>
    </w:p>
    <w:tbl>
      <w:tblPr>
        <w:tblStyle w:val="TableGrid"/>
        <w:tblW w:type="dxa" w:w="9360"/>
        <w:tblLayout w:type="fixed"/>
        <w:tblLook w:firstColumn="1" w:firstRow="1" w:lastColumn="0" w:lastRow="0" w:noHBand="0" w:noVBand="1" w:val="04A0"/>
        <w:tblInd w:w="120" w:type="dxa"/>
      </w:tblPr>
      <w:tblGrid>
        <w:gridCol w:w="2376"/>
        <w:gridCol w:w="6984"/>
      </w:tblGrid>
      <w:tr>
        <w:trPr>
          <w:tblHeader w:val="true"/>
          <w:cantSplit w:val="true"/>
        </w:trPr>
        <w:tc>
          <w:tcPr>
            <w:tcW w:type="dxa" w:w="2376"/>
            <w:tcMar>
              <w:top w:w="80" w:type="dxa"/>
              <w:start w:w="120" w:type="dxa"/>
              <w:bottom w:w="80" w:type="dxa"/>
              <w:end w:w="120" w:type="dxa"/>
            </w:tcMar>
            <w:vAlign w:val="center"/>
            <w:shd w:fill="EDEDED"/>
          </w:tcPr>
          <w:p>
            <w:pPr>
              <w:spacing w:before="0" w:after="0" w:line="252" w:lineRule="auto"/>
            </w:pPr>
            <w:r>
              <w:rPr>
                <w:rFonts w:ascii="Times New Roman" w:hAnsi="Times New Roman" w:eastAsia="Times New Roman"/>
                <w:b/>
                <w:color w:val="000000"/>
                <w:sz w:val="17"/>
              </w:rPr>
              <w:t>Item</w:t>
            </w:r>
          </w:p>
        </w:tc>
        <w:tc>
          <w:tcPr>
            <w:tcW w:type="dxa" w:w="6984"/>
            <w:tcMar>
              <w:top w:w="80" w:type="dxa"/>
              <w:start w:w="120" w:type="dxa"/>
              <w:bottom w:w="80" w:type="dxa"/>
              <w:end w:w="120" w:type="dxa"/>
            </w:tcMar>
            <w:vAlign w:val="center"/>
            <w:shd w:fill="EDEDED"/>
          </w:tcPr>
          <w:p>
            <w:pPr>
              <w:spacing w:before="0" w:after="0" w:line="252" w:lineRule="auto"/>
            </w:pPr>
            <w:r>
              <w:rPr>
                <w:rFonts w:ascii="Times New Roman" w:hAnsi="Times New Roman" w:eastAsia="Times New Roman"/>
                <w:b/>
                <w:color w:val="000000"/>
                <w:sz w:val="17"/>
              </w:rPr>
              <w:t>Specification</w:t>
            </w:r>
          </w:p>
        </w:tc>
      </w:tr>
      <w:tr>
        <w:trPr>
          <w:cantSplit w:val="true"/>
        </w:trPr>
        <w:tc>
          <w:tcPr>
            <w:tcW w:type="dxa" w:w="2376"/>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Population</w:t>
            </w:r>
          </w:p>
        </w:tc>
        <w:tc>
          <w:tcPr>
            <w:tcW w:type="dxa" w:w="6984"/>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Genetically confirmed ATXN3 expansion carriers (SCA3), genetically confirmed CACNA1A expansion carriers (SCA6), and expansion-negative family or regional controls</w:t>
            </w:r>
          </w:p>
        </w:tc>
      </w:tr>
      <w:tr>
        <w:trPr>
          <w:cantSplit w:val="true"/>
        </w:trPr>
        <w:tc>
          <w:tcPr>
            <w:tcW w:type="dxa" w:w="2376"/>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Clinical strata</w:t>
            </w:r>
          </w:p>
        </w:tc>
        <w:tc>
          <w:tcPr>
            <w:tcW w:type="dxa" w:w="6984"/>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Preataxic and early symptomatic, assigned without using future outcomes</w:t>
            </w:r>
          </w:p>
        </w:tc>
      </w:tr>
      <w:tr>
        <w:trPr>
          <w:cantSplit w:val="true"/>
        </w:trPr>
        <w:tc>
          <w:tcPr>
            <w:tcW w:type="dxa" w:w="2376"/>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Initial recruitment target</w:t>
            </w:r>
          </w:p>
        </w:tc>
        <w:tc>
          <w:tcPr>
            <w:tcW w:type="dxa" w:w="6984"/>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800 preataxic carriers (500 SCA3, 300 SCA6), 400 early symptomatic carriers (250 SCA3, 150 SCA6), and 200 controls</w:t>
            </w:r>
          </w:p>
        </w:tc>
      </w:tr>
      <w:tr>
        <w:trPr>
          <w:cantSplit w:val="true"/>
        </w:trPr>
        <w:tc>
          <w:tcPr>
            <w:tcW w:type="dxa" w:w="2376"/>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Follow-up</w:t>
            </w:r>
          </w:p>
        </w:tc>
        <w:tc>
          <w:tcPr>
            <w:tcW w:type="dxa" w:w="6984"/>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60 months; extension to 84 months is permitted by a blinded, event-driven decision</w:t>
            </w:r>
          </w:p>
        </w:tc>
      </w:tr>
      <w:tr>
        <w:trPr>
          <w:cantSplit w:val="true"/>
        </w:trPr>
        <w:tc>
          <w:tcPr>
            <w:tcW w:type="dxa" w:w="2376"/>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Core visits</w:t>
            </w:r>
          </w:p>
        </w:tc>
        <w:tc>
          <w:tcPr>
            <w:tcW w:type="dxa" w:w="6984"/>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Baseline and months 6, 12, 18, 24, 30, 36, 42, 48, 54, and 60</w:t>
            </w:r>
          </w:p>
        </w:tc>
      </w:tr>
      <w:tr>
        <w:trPr>
          <w:cantSplit w:val="true"/>
        </w:trPr>
        <w:tc>
          <w:tcPr>
            <w:tcW w:type="dxa" w:w="2376"/>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Confirmatory exposure</w:t>
            </w:r>
          </w:p>
        </w:tc>
        <w:tc>
          <w:tcPr>
            <w:tcW w:type="dxa" w:w="6984"/>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 xml:space="preserve">One outcome-blind selection from a finite two-candidate shortlist, frozen as measured operationalization </w:t>
            </w:r>
            <m:oMath>
              <m:r>
                <m:rPr>
                  <m:nor/>
                </m:rPr>
                <m:t>E</m:t>
              </m:r>
              <m:r>
                <m:rPr>
                  <m:nor/>
                </m:rPr>
                <m:t>*</m:t>
              </m:r>
            </m:oMath>
            <w:r>
              <w:rPr>
                <w:rFonts w:ascii="Times New Roman" w:hAnsi="Times New Roman" w:eastAsia="Times New Roman"/>
                <w:b w:val="0"/>
                <w:color w:val="000000"/>
                <w:sz w:val="17"/>
              </w:rPr>
              <w:t xml:space="preserve"> and analytic score </w:t>
            </w:r>
            <m:oMath>
              <m:r>
                <m:rPr>
                  <m:nor/>
                </m:rPr>
                <m:t>S</m:t>
              </m:r>
              <m:r>
                <m:rPr>
                  <m:nor/>
                </m:rPr>
                <m:t>*</m:t>
              </m:r>
            </m:oMath>
            <w:r>
              <w:rPr>
                <w:rFonts w:ascii="Times New Roman" w:hAnsi="Times New Roman" w:eastAsia="Times New Roman"/>
                <w:b w:val="0"/>
                <w:color w:val="000000"/>
                <w:sz w:val="17"/>
              </w:rPr>
              <w:t xml:space="preserve"> before outcome access</w:t>
            </w:r>
          </w:p>
        </w:tc>
      </w:tr>
      <w:tr>
        <w:trPr>
          <w:cantSplit w:val="true"/>
        </w:trPr>
        <w:tc>
          <w:tcPr>
            <w:tcW w:type="dxa" w:w="2376"/>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Primary outcome</w:t>
            </w:r>
          </w:p>
        </w:tc>
        <w:tc>
          <w:tcPr>
            <w:tcW w:type="dxa" w:w="6984"/>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Sustained adjudicated phenoconversion composite among preataxic carriers, analysed as interval-censored age at event</w:t>
            </w:r>
          </w:p>
        </w:tc>
      </w:tr>
      <w:tr>
        <w:trPr>
          <w:cantSplit w:val="true"/>
        </w:trPr>
        <w:tc>
          <w:tcPr>
            <w:tcW w:type="dxa" w:w="2376"/>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Confirmatory hypotheses</w:t>
            </w:r>
          </w:p>
        </w:tc>
        <w:tc>
          <w:tcPr>
            <w:tcW w:type="dxa" w:w="6984"/>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 xml:space="preserve">H1, prespecified hump-shaped </w:t>
            </w:r>
            <m:oMath>
              <m:r>
                <m:rPr>
                  <m:nor/>
                </m:rPr>
                <m:t>S</m:t>
              </m:r>
              <m:r>
                <m:rPr>
                  <m:nor/>
                </m:rPr>
                <m:t>*</m:t>
              </m:r>
            </m:oMath>
            <w:r>
              <w:rPr>
                <w:rFonts w:ascii="Times New Roman" w:hAnsi="Times New Roman" w:eastAsia="Times New Roman"/>
                <w:b w:val="0"/>
                <w:color w:val="000000"/>
                <w:sz w:val="17"/>
              </w:rPr>
              <w:t xml:space="preserve"> association in SCA3; H2, genotype-by-</w:t>
            </w:r>
            <m:oMath>
              <m:r>
                <m:rPr>
                  <m:nor/>
                </m:rPr>
                <m:t>S</m:t>
              </m:r>
              <m:r>
                <m:rPr>
                  <m:nor/>
                </m:rPr>
                <m:t>*</m:t>
              </m:r>
            </m:oMath>
            <w:r>
              <w:rPr>
                <w:rFonts w:ascii="Times New Roman" w:hAnsi="Times New Roman" w:eastAsia="Times New Roman"/>
                <w:b w:val="0"/>
                <w:color w:val="000000"/>
                <w:sz w:val="17"/>
              </w:rPr>
              <w:t xml:space="preserve"> interaction/transport; Holm family-wise alpha 0.05</w:t>
            </w:r>
          </w:p>
        </w:tc>
      </w:tr>
      <w:tr>
        <w:trPr>
          <w:cantSplit w:val="true"/>
        </w:trPr>
        <w:tc>
          <w:tcPr>
            <w:tcW w:type="dxa" w:w="2376"/>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Key secondary outcomes</w:t>
            </w:r>
          </w:p>
        </w:tc>
        <w:tc>
          <w:tcPr>
            <w:tcW w:type="dxa" w:w="6984"/>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SARA trajectory, plasma NfL, genotype-specific MRI, MRS, eye movements, digital gait, FARS-ADL, PROM-Ataxia, and patient-important milestones</w:t>
            </w:r>
          </w:p>
        </w:tc>
      </w:tr>
      <w:tr>
        <w:trPr>
          <w:cantSplit w:val="true"/>
        </w:trPr>
        <w:tc>
          <w:tcPr>
            <w:tcW w:type="dxa" w:w="2376"/>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Primary analysis</w:t>
            </w:r>
          </w:p>
        </w:tc>
        <w:tc>
          <w:tcPr>
            <w:tcW w:type="dxa" w:w="6984"/>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 xml:space="preserve">Delayed-entry, interval-censored, genotype-stratified flexible survival model with a frozen restricted cubic spline for </w:t>
            </w:r>
            <m:oMath>
              <m:r>
                <m:rPr>
                  <m:nor/>
                </m:rPr>
                <m:t>S</m:t>
              </m:r>
              <m:r>
                <m:rPr>
                  <m:nor/>
                </m:rPr>
                <m:t>*</m:t>
              </m:r>
            </m:oMath>
          </w:p>
        </w:tc>
      </w:tr>
      <w:tr>
        <w:trPr>
          <w:cantSplit w:val="true"/>
        </w:trPr>
        <w:tc>
          <w:tcPr>
            <w:tcW w:type="dxa" w:w="2376"/>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Hidden-state analysis</w:t>
            </w:r>
          </w:p>
        </w:tc>
        <w:tc>
          <w:tcPr>
            <w:tcW w:type="dxa" w:w="6984"/>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 xml:space="preserve">A longitudinal latent biomarker state </w:t>
            </w:r>
            <m:oMath>
              <m:r>
                <m:rPr>
                  <m:nor/>
                </m:rPr>
                <m:t>L</m:t>
              </m:r>
              <m:r>
                <m:rPr>
                  <m:nor/>
                </m:rPr>
                <m:t>(</m:t>
              </m:r>
              <m:r>
                <m:rPr>
                  <m:nor/>
                </m:rPr>
                <m:t>t</m:t>
              </m:r>
              <m:r>
                <m:rPr>
                  <m:nor/>
                </m:rPr>
                <m:t>)</m:t>
              </m:r>
            </m:oMath>
            <w:r>
              <w:rPr>
                <w:rFonts w:ascii="Times New Roman" w:hAnsi="Times New Roman" w:eastAsia="Times New Roman"/>
                <w:b w:val="0"/>
                <w:color w:val="000000"/>
                <w:sz w:val="17"/>
              </w:rPr>
              <w:t xml:space="preserve"> derived without SARA and validated outside its development geography</w:t>
            </w:r>
          </w:p>
        </w:tc>
      </w:tr>
      <w:tr>
        <w:trPr>
          <w:cantSplit w:val="true"/>
        </w:trPr>
        <w:tc>
          <w:tcPr>
            <w:tcW w:type="dxa" w:w="2376"/>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Decision rule</w:t>
            </w:r>
          </w:p>
        </w:tc>
        <w:tc>
          <w:tcPr>
            <w:tcW w:type="dxa" w:w="6984"/>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H1/H2 can support only the frozen non-linear environment model; gate/leak language additionally requires independent activation, uptake/exchange, reserve-proxy, temporal-mediation, and perturbation evidence</w:t>
            </w:r>
          </w:p>
        </w:tc>
      </w:tr>
    </w:tbl>
    <w:p>
      <w:pPr>
        <w:spacing w:after="40"/>
      </w:pPr>
    </w:p>
    <w:p>
      <w:pPr>
        <w:pStyle w:val="Heading2"/>
      </w:pPr>
      <w:r>
        <w:rPr>
          <w:rFonts w:ascii="Times New Roman" w:hAnsi="Times New Roman" w:eastAsia="Times New Roman"/>
          <w:b/>
          <w:color w:val="000000"/>
          <w:sz w:val="22"/>
        </w:rPr>
        <w:t>1. Rationale</w:t>
      </w:r>
    </w:p>
    <w:p>
      <w:pPr>
        <w:keepLines w:val="0"/>
        <w:jc w:val="both"/>
      </w:pPr>
      <w:r>
        <w:rPr>
          <w:rFonts w:ascii="Times New Roman" w:hAnsi="Times New Roman" w:eastAsia="Times New Roman"/>
          <w:b w:val="0"/>
          <w:color w:val="000000"/>
          <w:sz w:val="20"/>
        </w:rPr>
        <w:t>The SCA3 and SCA6 disease courses are heterogeneous despite pathogenic repeat expansions. Existing prospective cohorts provide the operational foundation for this protocol, but also show why a larger, more frequent, event-driven study is needed.</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RISCA defined the preataxic stage as SARA below 3 and conversion as SARA 3 or greater. Over approximately four to six years, 11 of 26 SCA3 carriers and 2 of 15 SCA6 carriers converted; the SCA6 event count was too small for risk-factor modelling (Jacobi et al., 2020; NCT01037777).</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Long-term EUROSCA data estimated annual SARA increases of 1.56 points in SCA3 and 0.80 points in SCA6, with important stage and cohort heterogeneity (Jacobi et al., 2015). A Japanese SCA6 cohort estimated 1.33 ± 1.40 points per year, illustrating substantial individual variability (Yasui et al., 2014).</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Longitudinal SCA3 studies support plasma NfL and quantitative MRI as candidate progression or prognostic biomarkers, but not as validated surrogate endpoints (Berger et al., 2025; Petit et al., 2026).</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Longitudinal imaging evidence in SCA6 remains sparse; one genotype-comparative MRI study included only seven participants with SCA6 (Reetz et al., 2013).</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 retrospective ecological study associated rural proxies, including untreated well-water use, with earlier residual onset in SCA3, but could not identify a causal exposure and explicitly motivated prospective work (Martins et al., 2025).</w:t>
      </w:r>
    </w:p>
    <w:p>
      <w:pPr>
        <w:keepLines w:val="0"/>
        <w:jc w:val="both"/>
      </w:pPr>
      <w:r>
        <w:rPr>
          <w:rFonts w:ascii="Times New Roman" w:hAnsi="Times New Roman" w:eastAsia="Times New Roman"/>
          <w:b w:val="0"/>
          <w:color w:val="000000"/>
          <w:sz w:val="20"/>
        </w:rPr>
        <w:t xml:space="preserve">Accordingly, the study is designed to choose one environmental candidate by a finite, outcome-blind rule and to separate confirmation from discovery. It does not perform an unconstrained search for </w:t>
      </w:r>
      <m:oMath>
        <m:r>
          <m:rPr>
            <m:nor/>
          </m:rPr>
          <m:t>X</m:t>
        </m:r>
      </m:oMath>
      <w:r>
        <w:rPr>
          <w:rFonts w:ascii="Times New Roman" w:hAnsi="Times New Roman" w:eastAsia="Times New Roman"/>
          <w:b w:val="0"/>
          <w:color w:val="000000"/>
          <w:sz w:val="20"/>
        </w:rPr>
        <w:t>.</w:t>
      </w:r>
    </w:p>
    <w:p>
      <w:pPr>
        <w:pStyle w:val="Heading2"/>
      </w:pPr>
      <w:r>
        <w:rPr>
          <w:rFonts w:ascii="Times New Roman" w:hAnsi="Times New Roman" w:eastAsia="Times New Roman"/>
          <w:b/>
          <w:color w:val="000000"/>
          <w:sz w:val="22"/>
        </w:rPr>
        <w:t>2. Objectives and hypotheses</w:t>
      </w:r>
    </w:p>
    <w:p>
      <w:pPr>
        <w:pStyle w:val="Heading3"/>
      </w:pPr>
      <w:r>
        <w:rPr>
          <w:rFonts w:ascii="Times New Roman" w:hAnsi="Times New Roman" w:eastAsia="Times New Roman"/>
          <w:b/>
          <w:color w:val="000000"/>
          <w:sz w:val="20"/>
        </w:rPr>
        <w:t>2.1 Primary objective</w:t>
      </w:r>
    </w:p>
    <w:p>
      <w:pPr>
        <w:keepLines w:val="0"/>
        <w:jc w:val="both"/>
      </w:pPr>
      <w:r>
        <w:rPr>
          <w:rFonts w:ascii="Times New Roman" w:hAnsi="Times New Roman" w:eastAsia="Times New Roman"/>
          <w:b w:val="0"/>
          <w:color w:val="000000"/>
          <w:sz w:val="20"/>
        </w:rPr>
        <w:t xml:space="preserve">Estimate whether the frozen score </w:t>
      </w:r>
      <m:oMath>
        <m:r>
          <m:rPr>
            <m:nor/>
          </m:rPr>
          <m:t>S</m:t>
        </m:r>
        <m:r>
          <m:rPr>
            <m:nor/>
          </m:rPr>
          <m:t>*</m:t>
        </m:r>
      </m:oMath>
      <w:r>
        <w:rPr>
          <w:rFonts w:ascii="Times New Roman" w:hAnsi="Times New Roman" w:eastAsia="Times New Roman"/>
          <w:b w:val="0"/>
          <w:color w:val="000000"/>
          <w:sz w:val="20"/>
        </w:rPr>
        <w:t xml:space="preserve"> derived from the selected candidate exposure </w:t>
      </w:r>
      <m:oMath>
        <m:r>
          <m:rPr>
            <m:nor/>
          </m:rPr>
          <m:t>E</m:t>
        </m:r>
        <m:r>
          <m:rPr>
            <m:nor/>
          </m:rPr>
          <m:t>*</m:t>
        </m:r>
      </m:oMath>
      <w:r>
        <w:rPr>
          <w:rFonts w:ascii="Times New Roman" w:hAnsi="Times New Roman" w:eastAsia="Times New Roman"/>
          <w:b w:val="0"/>
          <w:color w:val="000000"/>
          <w:sz w:val="20"/>
        </w:rPr>
        <w:t xml:space="preserve"> is associated with the age-specific hazard of sustained, adjudicated phenoconversion among preataxic SCA3 expansion carriers, including the prespecified non-monotonic shape, and then test transport and heterogeneity in SCA6.</w:t>
      </w:r>
    </w:p>
    <w:p>
      <w:pPr>
        <w:pStyle w:val="Heading3"/>
      </w:pPr>
      <w:r>
        <w:rPr>
          <w:rFonts w:ascii="Times New Roman" w:hAnsi="Times New Roman" w:eastAsia="Times New Roman"/>
          <w:b/>
          <w:color w:val="000000"/>
          <w:sz w:val="20"/>
        </w:rPr>
        <w:t>2.2 Confirmatory hypotheses</w:t>
      </w:r>
    </w:p>
    <w:p>
      <w:pPr>
        <w:keepLines w:val="0"/>
        <w:jc w:val="both"/>
      </w:pPr>
      <w:r>
        <w:rPr>
          <w:rFonts w:ascii="Times New Roman" w:hAnsi="Times New Roman" w:eastAsia="Times New Roman"/>
          <w:b/>
          <w:color w:val="000000"/>
          <w:sz w:val="20"/>
        </w:rPr>
        <w:t>H1 — SCA3 non-monotonic exposure association.</w:t>
      </w:r>
      <w:r>
        <w:rPr>
          <w:rFonts w:ascii="Times New Roman" w:hAnsi="Times New Roman" w:eastAsia="Times New Roman"/>
          <w:b w:val="0"/>
          <w:color w:val="000000"/>
          <w:sz w:val="20"/>
        </w:rPr>
        <w:t xml:space="preserve"> The SCA3 log-hazard curve for </w:t>
      </w:r>
      <m:oMath>
        <m:r>
          <m:rPr>
            <m:nor/>
          </m:rPr>
          <m:t>S</m:t>
        </m:r>
        <m:r>
          <m:rPr>
            <m:nor/>
          </m:rPr>
          <m:t>*</m:t>
        </m:r>
      </m:oMath>
      <w:r>
        <w:rPr>
          <w:rFonts w:ascii="Times New Roman" w:hAnsi="Times New Roman" w:eastAsia="Times New Roman"/>
          <w:b w:val="0"/>
          <w:color w:val="000000"/>
          <w:sz w:val="20"/>
        </w:rPr>
        <w:t xml:space="preserve"> has an intermediate-exposure excess relative to low and high exposure, defined by the frozen hump contrast in the statistical analysis plan. SCA3 is primary because the motivating rural-environment association was SCA3-specific and its prospective conversion information is stronger.</w:t>
      </w:r>
    </w:p>
    <w:p>
      <w:pPr>
        <w:keepLines w:val="0"/>
        <w:jc w:val="both"/>
      </w:pPr>
      <w:r>
        <w:rPr>
          <w:rFonts w:ascii="Times New Roman" w:hAnsi="Times New Roman" w:eastAsia="Times New Roman"/>
          <w:b/>
          <w:color w:val="000000"/>
          <w:sz w:val="20"/>
        </w:rPr>
        <w:t>H2 — genotype-by-environment interaction and transport.</w:t>
      </w:r>
      <w:r>
        <w:rPr>
          <w:rFonts w:ascii="Times New Roman" w:hAnsi="Times New Roman" w:eastAsia="Times New Roman"/>
          <w:b w:val="0"/>
          <w:color w:val="000000"/>
          <w:sz w:val="20"/>
        </w:rPr>
        <w:t xml:space="preserve"> The </w:t>
      </w:r>
      <m:oMath>
        <m:r>
          <m:rPr>
            <m:nor/>
          </m:rPr>
          <m:t>S</m:t>
        </m:r>
        <m:r>
          <m:rPr>
            <m:nor/>
          </m:rPr>
          <m:t>*</m:t>
        </m:r>
      </m:oMath>
      <w:r>
        <w:rPr>
          <w:rFonts w:ascii="Times New Roman" w:hAnsi="Times New Roman" w:eastAsia="Times New Roman"/>
          <w:b w:val="0"/>
          <w:color w:val="000000"/>
          <w:sz w:val="20"/>
        </w:rPr>
        <w:t xml:space="preserve"> curve differs between SCA3 and SCA6. SCA6 is a deliberately difficult transport and heterogeneity test across a different channelopathy, not automatic pooled confirmation. A secondary, lower-powered decomposition examines expanded-repeat length standardized within genotype as an independently measured effect modifier. No outcome-derived score is labelled </w:t>
      </w:r>
      <m:oMath>
        <m:r>
          <m:rPr>
            <m:nor/>
          </m:rPr>
          <m:t>R</m:t>
        </m:r>
      </m:oMath>
      <w:r>
        <w:rPr>
          <w:rFonts w:ascii="Times New Roman" w:hAnsi="Times New Roman" w:eastAsia="Times New Roman"/>
          <w:b w:val="0"/>
          <w:color w:val="000000"/>
          <w:sz w:val="20"/>
        </w:rPr>
        <w:t xml:space="preserve"> in confirmatory analyses.</w:t>
      </w:r>
    </w:p>
    <w:p>
      <w:pPr>
        <w:keepLines w:val="0"/>
        <w:jc w:val="both"/>
      </w:pPr>
      <w:r>
        <w:rPr>
          <w:rFonts w:ascii="Times New Roman" w:hAnsi="Times New Roman" w:eastAsia="Times New Roman"/>
          <w:b w:val="0"/>
          <w:color w:val="000000"/>
          <w:sz w:val="20"/>
        </w:rPr>
        <w:t>H1 and H2 form one registered family and use Holm control of the two-sided family-wise error rate at 0.05. A confirmatory H2 interpretation additionally requires the simulation-defined interaction information target; otherwise H2 is reported as an estimate with uncertainty rather than as a negative transport test.</w:t>
      </w:r>
    </w:p>
    <w:p>
      <w:pPr>
        <w:pStyle w:val="Heading3"/>
      </w:pPr>
      <w:r>
        <w:rPr>
          <w:rFonts w:ascii="Times New Roman" w:hAnsi="Times New Roman" w:eastAsia="Times New Roman"/>
          <w:b/>
          <w:color w:val="000000"/>
          <w:sz w:val="20"/>
        </w:rPr>
        <w:t>2.3 Key secondary objectives</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 xml:space="preserve">Estimate associations between </w:t>
      </w:r>
      <m:oMath>
        <m:r>
          <m:rPr>
            <m:nor/>
          </m:rPr>
          <m:t>S</m:t>
        </m:r>
        <m:r>
          <m:rPr>
            <m:nor/>
          </m:rPr>
          <m:t>*</m:t>
        </m:r>
      </m:oMath>
      <w:r>
        <w:rPr>
          <w:rFonts w:ascii="Times New Roman" w:hAnsi="Times New Roman" w:eastAsia="Times New Roman"/>
          <w:b w:val="0"/>
          <w:color w:val="000000"/>
          <w:sz w:val="20"/>
        </w:rPr>
        <w:t xml:space="preserve"> and longitudinal SARA, NfL, MRI, MRS, eye-movement, gait, and patient-reported trajectories.</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Determine whether a biomarker-state change measured during the first 12 months predicts phenoconversion after month 12.</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val="0"/>
          <w:color w:val="000000"/>
          <w:sz w:val="20"/>
        </w:rPr>
        <w:t xml:space="preserve">Develop a longitudinal latent biomarker state </w:t>
      </w:r>
      <m:oMath>
        <m:r>
          <m:rPr>
            <m:nor/>
          </m:rPr>
          <m:t>L</m:t>
        </m:r>
        <m:r>
          <m:rPr>
            <m:nor/>
          </m:rPr>
          <m:t>(</m:t>
        </m:r>
        <m:r>
          <m:rPr>
            <m:nor/>
          </m:rPr>
          <m:t>t</m:t>
        </m:r>
        <m:r>
          <m:rPr>
            <m:nor/>
          </m:rPr>
          <m:t>)</m:t>
        </m:r>
      </m:oMath>
      <w:r>
        <w:rPr>
          <w:rFonts w:ascii="Times New Roman" w:hAnsi="Times New Roman" w:eastAsia="Times New Roman"/>
          <w:b w:val="0"/>
          <w:color w:val="000000"/>
          <w:sz w:val="20"/>
        </w:rPr>
        <w:t xml:space="preserve"> without using SARA as an indicator, freeze its measurement model, and assess transportability in an independent geography or later recruitment wave.</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val="0"/>
          <w:color w:val="000000"/>
          <w:sz w:val="20"/>
        </w:rPr>
        <w:t>Quantify genotype-specific natural history and variance components needed for an early-intervention trial.</w:t>
      </w:r>
    </w:p>
    <w:p>
      <w:pPr>
        <w:spacing w:after="60" w:line="276" w:lineRule="auto"/>
        <w:ind w:left="360" w:hanging="259"/>
      </w:pPr>
      <w:r>
        <w:rPr>
          <w:rFonts w:ascii="Times New Roman" w:hAnsi="Times New Roman" w:eastAsia="Times New Roman"/>
          <w:color w:val="000000"/>
          <w:sz w:val="20"/>
        </w:rPr>
        <w:t xml:space="preserve">5. </w:t>
      </w:r>
      <w:r>
        <w:rPr>
          <w:rFonts w:ascii="Times New Roman" w:hAnsi="Times New Roman" w:eastAsia="Times New Roman"/>
          <w:b w:val="0"/>
          <w:color w:val="000000"/>
          <w:sz w:val="20"/>
        </w:rPr>
        <w:t>Determine whether future assays can support a separate gate-specific substudy measuring activation, inward uptake/exchange, and reserve/depletion on independent axes; no such assay is treated as confirmatory in the present protocol.</w:t>
      </w:r>
    </w:p>
    <w:p>
      <w:pPr>
        <w:pStyle w:val="Heading3"/>
      </w:pPr>
      <w:r>
        <w:rPr>
          <w:rFonts w:ascii="Times New Roman" w:hAnsi="Times New Roman" w:eastAsia="Times New Roman"/>
          <w:b/>
          <w:color w:val="000000"/>
          <w:sz w:val="20"/>
        </w:rPr>
        <w:t>2.4 Exploratory objectives</w:t>
      </w:r>
    </w:p>
    <w:p>
      <w:pPr>
        <w:keepLines w:val="0"/>
        <w:jc w:val="both"/>
      </w:pPr>
      <w:r>
        <w:rPr>
          <w:rFonts w:ascii="Times New Roman" w:hAnsi="Times New Roman" w:eastAsia="Times New Roman"/>
          <w:b w:val="0"/>
          <w:color w:val="000000"/>
          <w:sz w:val="20"/>
        </w:rPr>
        <w:t>Exploratory work includes other agricultural chemicals, untreated-well-water history, occupational exposure, migration, diet, infection history, metabolomics, transcriptomics, microbiome measures, threshold locations, multi-peak curves, and mediation. These analyses use explicit multiplicity control and require an independent confirmatory study before being described as validated.</w:t>
      </w:r>
    </w:p>
    <w:p>
      <w:pPr>
        <w:pStyle w:val="Heading2"/>
      </w:pPr>
      <w:r>
        <w:rPr>
          <w:rFonts w:ascii="Times New Roman" w:hAnsi="Times New Roman" w:eastAsia="Times New Roman"/>
          <w:b/>
          <w:color w:val="000000"/>
          <w:sz w:val="22"/>
        </w:rPr>
        <w:t>3. Study population</w:t>
      </w:r>
    </w:p>
    <w:p>
      <w:pPr>
        <w:pStyle w:val="Heading3"/>
      </w:pPr>
      <w:r>
        <w:rPr>
          <w:rFonts w:ascii="Times New Roman" w:hAnsi="Times New Roman" w:eastAsia="Times New Roman"/>
          <w:b/>
          <w:color w:val="000000"/>
          <w:sz w:val="20"/>
        </w:rPr>
        <w:t>3.1 Preataxic carriers</w:t>
      </w:r>
    </w:p>
    <w:p>
      <w:pPr>
        <w:keepLines w:val="0"/>
        <w:jc w:val="both"/>
      </w:pPr>
      <w:r>
        <w:rPr>
          <w:rFonts w:ascii="Times New Roman" w:hAnsi="Times New Roman" w:eastAsia="Times New Roman"/>
          <w:b w:val="0"/>
          <w:color w:val="000000"/>
          <w:sz w:val="20"/>
        </w:rPr>
        <w:t>All criteria are required:</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Age 18 years or older.</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Pathogenic ATXN3 CAG expansion or pathogenic CACNA1A CAG expansion confirmed by an accredited laboratory and centrally reviewed.</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val="0"/>
          <w:color w:val="000000"/>
          <w:sz w:val="20"/>
        </w:rPr>
        <w:t>SARA total score below 3 at screening and baseline.</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val="0"/>
          <w:color w:val="000000"/>
          <w:sz w:val="20"/>
        </w:rPr>
        <w:t>No investigator-diagnosed manifest gait ataxia after examination and central review of the standardized gait video.</w:t>
      </w:r>
    </w:p>
    <w:p>
      <w:pPr>
        <w:spacing w:after="60" w:line="276" w:lineRule="auto"/>
        <w:ind w:left="360" w:hanging="259"/>
      </w:pPr>
      <w:r>
        <w:rPr>
          <w:rFonts w:ascii="Times New Roman" w:hAnsi="Times New Roman" w:eastAsia="Times New Roman"/>
          <w:color w:val="000000"/>
          <w:sz w:val="20"/>
        </w:rPr>
        <w:t xml:space="preserve">5. </w:t>
      </w:r>
      <w:r>
        <w:rPr>
          <w:rFonts w:ascii="Times New Roman" w:hAnsi="Times New Roman" w:eastAsia="Times New Roman"/>
          <w:b w:val="0"/>
          <w:color w:val="000000"/>
          <w:sz w:val="20"/>
        </w:rPr>
        <w:t>Capacity to consent and willingness to complete longitudinal clinical and exposure assessments.</w:t>
      </w:r>
    </w:p>
    <w:p>
      <w:pPr>
        <w:keepLines w:val="0"/>
        <w:jc w:val="both"/>
      </w:pPr>
      <w:r>
        <w:rPr>
          <w:rFonts w:ascii="Times New Roman" w:hAnsi="Times New Roman" w:eastAsia="Times New Roman"/>
          <w:b w:val="0"/>
          <w:color w:val="000000"/>
          <w:sz w:val="20"/>
        </w:rPr>
        <w:t>Recruitment will oversample carriers close to an externally estimated age-at-onset window using age and repeat length only. Sampling probabilities are recorded so that population-representative analyses can use inverse sampling weights. Biomarkers, observed onset, or environmental exposure will not determine oversampling.</w:t>
      </w:r>
    </w:p>
    <w:p>
      <w:pPr>
        <w:pStyle w:val="Heading3"/>
      </w:pPr>
      <w:r>
        <w:rPr>
          <w:rFonts w:ascii="Times New Roman" w:hAnsi="Times New Roman" w:eastAsia="Times New Roman"/>
          <w:b/>
          <w:color w:val="000000"/>
          <w:sz w:val="20"/>
        </w:rPr>
        <w:t>3.2 Early symptomatic carriers</w:t>
      </w:r>
    </w:p>
    <w:p>
      <w:pPr>
        <w:keepLines w:val="0"/>
        <w:jc w:val="both"/>
      </w:pPr>
      <w:r>
        <w:rPr>
          <w:rFonts w:ascii="Times New Roman" w:hAnsi="Times New Roman" w:eastAsia="Times New Roman"/>
          <w:b w:val="0"/>
          <w:color w:val="000000"/>
          <w:sz w:val="20"/>
        </w:rPr>
        <w:t>All criteria are required:</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The same molecular confirmation and consent requirements as the preataxic stratum.</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SARA from 3 through 15 at screening and baseline.</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val="0"/>
          <w:color w:val="000000"/>
          <w:sz w:val="20"/>
        </w:rPr>
        <w:t>Clinician-confirmed progressive gait ataxia attributable primarily to SCA3 or SCA6.</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val="0"/>
          <w:color w:val="000000"/>
          <w:sz w:val="20"/>
        </w:rPr>
        <w:t>No more than seven years since the first sustained gait-ataxia symptom, where ascertainable.</w:t>
      </w:r>
    </w:p>
    <w:p>
      <w:pPr>
        <w:keepLines w:val="0"/>
        <w:jc w:val="both"/>
      </w:pPr>
      <w:r>
        <w:rPr>
          <w:rFonts w:ascii="Times New Roman" w:hAnsi="Times New Roman" w:eastAsia="Times New Roman"/>
          <w:b w:val="0"/>
          <w:color w:val="000000"/>
          <w:sz w:val="20"/>
        </w:rPr>
        <w:t>Use of a gait aid does not exclude participation. Inability to complete a gait task is recorded as a clinical state rather than silently converted to missing data.</w:t>
      </w:r>
    </w:p>
    <w:p>
      <w:pPr>
        <w:pStyle w:val="Heading3"/>
      </w:pPr>
      <w:r>
        <w:rPr>
          <w:rFonts w:ascii="Times New Roman" w:hAnsi="Times New Roman" w:eastAsia="Times New Roman"/>
          <w:b/>
          <w:color w:val="000000"/>
          <w:sz w:val="20"/>
        </w:rPr>
        <w:t>3.3 Controls</w:t>
      </w:r>
    </w:p>
    <w:p>
      <w:pPr>
        <w:keepLines w:val="0"/>
        <w:jc w:val="both"/>
      </w:pPr>
      <w:r>
        <w:rPr>
          <w:rFonts w:ascii="Times New Roman" w:hAnsi="Times New Roman" w:eastAsia="Times New Roman"/>
          <w:b w:val="0"/>
          <w:color w:val="000000"/>
          <w:sz w:val="20"/>
        </w:rPr>
        <w:t>Controls must be age 18 years or older, have SARA below 3, and have no progressive neurological disorder. Expansion-negative relatives are preferred because they share part of the familial and regional environment. Community controls may supplement age, sex, ancestry, and region cells that cannot be filled by relatives. Controls provide normative biomarker distributions and carrier-by-exposure comparisons; they are not included in the carrier phenoconversion risk set.</w:t>
      </w:r>
    </w:p>
    <w:p>
      <w:pPr>
        <w:pStyle w:val="Heading3"/>
      </w:pPr>
      <w:r>
        <w:rPr>
          <w:rFonts w:ascii="Times New Roman" w:hAnsi="Times New Roman" w:eastAsia="Times New Roman"/>
          <w:b/>
          <w:color w:val="000000"/>
          <w:sz w:val="20"/>
        </w:rPr>
        <w:t>3.4 Exclusion criteria</w:t>
      </w:r>
    </w:p>
    <w:p>
      <w:pPr>
        <w:keepLines w:val="0"/>
        <w:jc w:val="both"/>
      </w:pPr>
      <w:r>
        <w:rPr>
          <w:rFonts w:ascii="Times New Roman" w:hAnsi="Times New Roman" w:eastAsia="Times New Roman"/>
          <w:b w:val="0"/>
          <w:color w:val="000000"/>
          <w:sz w:val="20"/>
        </w:rPr>
        <w:t>Participants are excluded from the full cohort only for:</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another disorder judged to be the dominant cause of progressive ataxia;</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 large cerebellar or brainstem stroke, active central nervous system inflammation, or brain tumour that precludes attribution of longitudinal change;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current severe alcohol-related neurological disease;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inability to provide consent without a legally valid process;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circumstances that make longitudinal contact infeasible at enrollment.</w:t>
      </w:r>
    </w:p>
    <w:p>
      <w:pPr>
        <w:keepLines w:val="0"/>
        <w:jc w:val="both"/>
      </w:pPr>
      <w:r>
        <w:rPr>
          <w:rFonts w:ascii="Times New Roman" w:hAnsi="Times New Roman" w:eastAsia="Times New Roman"/>
          <w:b w:val="0"/>
          <w:color w:val="000000"/>
          <w:sz w:val="20"/>
        </w:rPr>
        <w:t>MRI contraindication excludes only MRI/MRS procedures. Common comorbidities, renal impairment, depression, rehabilitation, and concomitant medication are measured rather than broadly excluded. Acute infection, major trauma, or surgery triggers rescheduling of NfL sampling where possible.</w:t>
      </w:r>
    </w:p>
    <w:p>
      <w:pPr>
        <w:pStyle w:val="Heading2"/>
      </w:pPr>
      <w:r>
        <w:rPr>
          <w:rFonts w:ascii="Times New Roman" w:hAnsi="Times New Roman" w:eastAsia="Times New Roman"/>
          <w:b/>
          <w:color w:val="000000"/>
          <w:sz w:val="22"/>
        </w:rPr>
        <w:t>4. Recruitment, consent, and retention</w:t>
      </w:r>
    </w:p>
    <w:p>
      <w:pPr>
        <w:keepLines w:val="0"/>
        <w:jc w:val="both"/>
      </w:pPr>
      <w:r>
        <w:rPr>
          <w:rFonts w:ascii="Times New Roman" w:hAnsi="Times New Roman" w:eastAsia="Times New Roman"/>
          <w:b w:val="0"/>
          <w:color w:val="000000"/>
          <w:sz w:val="20"/>
        </w:rPr>
        <w:t>Recruitment will use international ataxia centres, existing SCA registries, family outreach, and patient organizations. Presymptomatic genetic testing follows local counselling standards. Research staff will explain that individual onset prediction remains uncertain and that the environmental hypothesis is unproven.</w:t>
      </w:r>
    </w:p>
    <w:p>
      <w:pPr>
        <w:keepLines w:val="0"/>
        <w:jc w:val="both"/>
      </w:pPr>
      <w:r>
        <w:rPr>
          <w:rFonts w:ascii="Times New Roman" w:hAnsi="Times New Roman" w:eastAsia="Times New Roman"/>
          <w:b w:val="0"/>
          <w:color w:val="000000"/>
          <w:sz w:val="20"/>
        </w:rPr>
        <w:t>Retention measures include travel support, home or regional blood collection, remote patient-reported visits, flexible scheduling, and continued non-MRI follow-up after loss of scan eligibility. Reasons for missed visits, withdrawal, inability to travel, entry into an interventional trial, and death are recorded prospectively.</w:t>
      </w:r>
    </w:p>
    <w:p>
      <w:pPr>
        <w:pStyle w:val="Heading2"/>
      </w:pPr>
      <w:r>
        <w:rPr>
          <w:rFonts w:ascii="Times New Roman" w:hAnsi="Times New Roman" w:eastAsia="Times New Roman"/>
          <w:b/>
          <w:color w:val="000000"/>
          <w:sz w:val="22"/>
        </w:rPr>
        <w:t xml:space="preserve">5. Candidate exposure </w:t>
      </w:r>
      <m:oMath>
        <m:r>
          <m:rPr>
            <m:nor/>
          </m:rPr>
          <m:t>E</m:t>
        </m:r>
        <m:r>
          <m:rPr>
            <m:nor/>
          </m:rPr>
          <m:t>*</m:t>
        </m:r>
      </m:oMath>
    </w:p>
    <w:p>
      <w:pPr>
        <w:pStyle w:val="Heading3"/>
      </w:pPr>
      <w:r>
        <w:rPr>
          <w:rFonts w:ascii="Times New Roman" w:hAnsi="Times New Roman" w:eastAsia="Times New Roman"/>
          <w:b/>
          <w:color w:val="000000"/>
          <w:sz w:val="20"/>
        </w:rPr>
        <w:t>5.1 Finite outcome-blind selection</w:t>
      </w:r>
    </w:p>
    <w:p>
      <w:pPr>
        <w:keepLines w:val="0"/>
        <w:jc w:val="both"/>
      </w:pPr>
      <w:r>
        <w:rPr>
          <w:rFonts w:ascii="Times New Roman" w:hAnsi="Times New Roman" w:eastAsia="Times New Roman"/>
          <w:b w:val="0"/>
          <w:color w:val="000000"/>
          <w:sz w:val="20"/>
        </w:rPr>
        <w:t>The confirmatory candidate is not chosen by whichever exposure best predicts SCA outcomes. At protocol activation, the registry freezes a two-candidate shortlist:</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five-year-lagged lifetime mean residential agricultural pesticide intensity; and</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five-year-lagged proportion of geocoded lifetime residence using untreated private-well water.</w:t>
      </w:r>
    </w:p>
    <w:p>
      <w:pPr>
        <w:keepLines w:val="0"/>
        <w:jc w:val="both"/>
      </w:pPr>
      <w:r>
        <w:rPr>
          <w:rFonts w:ascii="Times New Roman" w:hAnsi="Times New Roman" w:eastAsia="Times New Roman"/>
          <w:b w:val="0"/>
          <w:color w:val="000000"/>
          <w:sz w:val="20"/>
        </w:rPr>
        <w:t xml:space="preserve">Both are T4 operational candidates. The rural SCA3 study did not measure individual pesticide dose, well-water contaminants, a non-monotonic curve, or </w:t>
      </w:r>
      <m:oMath>
        <m:r>
          <m:rPr>
            <m:nor/>
          </m:rPr>
          <m:t>X</m:t>
        </m:r>
      </m:oMath>
      <w:r>
        <w:rPr>
          <w:rFonts w:ascii="Times New Roman" w:hAnsi="Times New Roman" w:eastAsia="Times New Roman"/>
          <w:b w:val="0"/>
          <w:color w:val="000000"/>
          <w:sz w:val="20"/>
        </w:rPr>
        <w:t xml:space="preserve">. An exposure committee with no access to phenoconversion, SARA, NfL, imaging, digital-motor, or patient-reported outcomes scores both candidates on a 100-point rubric: usable lifetime coverage (30), external calibration/reliability (25), common support across genotype and region (20), primary-source plausibility independent of this cohort (15), and reproducible source/version provenance (10). The highest-scoring candidate that passes the quality gate becomes </w:t>
      </w:r>
      <m:oMath>
        <m:r>
          <m:rPr>
            <m:nor/>
          </m:rPr>
          <m:t>E</m:t>
        </m:r>
        <m:r>
          <m:rPr>
            <m:nor/>
          </m:rPr>
          <m:t>*</m:t>
        </m:r>
      </m:oMath>
      <w:r>
        <w:rPr>
          <w:rFonts w:ascii="Times New Roman" w:hAnsi="Times New Roman" w:eastAsia="Times New Roman"/>
          <w:b w:val="0"/>
          <w:color w:val="000000"/>
          <w:sz w:val="20"/>
        </w:rPr>
        <w:t>; ties are broken by higher calibration/reliability, then coverage, then the order above. If neither passes, the confirmatory environmental analysis is no-go while natural-history follow-up continues.</w:t>
      </w:r>
    </w:p>
    <w:p>
      <w:pPr>
        <w:keepLines w:val="0"/>
        <w:jc w:val="both"/>
      </w:pPr>
      <w:r>
        <w:rPr>
          <w:rFonts w:ascii="Times New Roman" w:hAnsi="Times New Roman" w:eastAsia="Times New Roman"/>
          <w:b w:val="0"/>
          <w:color w:val="000000"/>
          <w:sz w:val="20"/>
        </w:rPr>
        <w:t>Selection, scores, committee membership, conflicts, data versions, and the chosen candidate are time-stamped before any outcome-linked analysis. The nonselected candidate remains secondary and cannot be promoted because of its observed association. A lower estimated risk at high pesticide or untreated-well exposure cannot be interpreted as benefit and does not justify exposure escalation.</w:t>
      </w:r>
    </w:p>
    <w:p>
      <w:pPr>
        <w:pStyle w:val="Heading3"/>
      </w:pPr>
      <w:r>
        <w:rPr>
          <w:rFonts w:ascii="Times New Roman" w:hAnsi="Times New Roman" w:eastAsia="Times New Roman"/>
          <w:b/>
          <w:color w:val="000000"/>
          <w:sz w:val="20"/>
        </w:rPr>
        <w:t>5.2 Candidate-specific definitions</w:t>
      </w:r>
    </w:p>
    <w:p>
      <w:pPr>
        <w:keepLines w:val="0"/>
        <w:jc w:val="both"/>
      </w:pPr>
      <w:r>
        <w:rPr>
          <w:rFonts w:ascii="Times New Roman" w:hAnsi="Times New Roman" w:eastAsia="Times New Roman"/>
          <w:b w:val="0"/>
          <w:color w:val="000000"/>
          <w:sz w:val="20"/>
        </w:rPr>
        <w:t>If the pesticide candidate is selected:</w:t>
      </w:r>
    </w:p>
    <w:p>
      <w:pPr>
        <w:keepLines/>
        <w:spacing w:before="80" w:after="120"/>
        <w:jc w:val="center"/>
      </w:pPr>
      <m:oMath>
        <m:sSubSup>
          <m:e>
            <m:r>
              <m:rPr>
                <m:nor/>
              </m:rPr>
              <m:t>E</m:t>
            </m:r>
          </m:e>
          <m:sub>
            <m:r>
              <m:rPr>
                <m:nor/>
              </m:rPr>
              <m:t>i</m:t>
            </m:r>
            <m:r>
              <m:rPr>
                <m:nor/>
              </m:rPr>
              <m:t>,</m:t>
            </m:r>
            <m:r>
              <m:rPr>
                <m:nor/>
              </m:rPr>
              <m:t>pest</m:t>
            </m:r>
          </m:sub>
          <m:sup>
            <m:r>
              <m:rPr>
                <m:nor/>
              </m:rPr>
              <m:t>*</m:t>
            </m:r>
          </m:sup>
        </m:sSubSup>
        <m:r>
          <m:rPr>
            <m:nor/>
          </m:rPr>
          <m:t>=</m:t>
        </m:r>
        <m:r>
          <m:rPr>
            <m:nor/>
          </m:rPr>
          <m:t> </m:t>
        </m:r>
        <m:f>
          <m:num>
            <m:r>
              <m:rPr>
                <m:nor/>
              </m:rPr>
              <m:t> </m:t>
            </m:r>
            <m:sSubSup>
              <m:e>
                <m:r>
                  <m:rPr>
                    <m:nor/>
                  </m:rPr>
                  <m:t>∑</m:t>
                </m:r>
              </m:e>
              <m:sub>
                <m:r>
                  <m:rPr>
                    <m:nor/>
                  </m:rPr>
                  <m:t>y</m:t>
                </m:r>
                <m:r>
                  <m:rPr>
                    <m:nor/>
                  </m:rPr>
                  <m:t>=</m:t>
                </m:r>
                <m:sSub>
                  <m:e>
                    <m:r>
                      <m:rPr>
                        <m:nor/>
                      </m:rPr>
                      <m:t>y</m:t>
                    </m:r>
                  </m:e>
                  <m:sub>
                    <m:r>
                      <m:rPr>
                        <m:nor/>
                      </m:rPr>
                      <m:t>birth</m:t>
                    </m:r>
                  </m:sub>
                </m:sSub>
              </m:sub>
              <m:sup>
                <m:sSub>
                  <m:e>
                    <m:r>
                      <m:rPr>
                        <m:nor/>
                      </m:rPr>
                      <m:t>y</m:t>
                    </m:r>
                  </m:e>
                  <m:sub>
                    <m:r>
                      <m:rPr>
                        <m:nor/>
                      </m:rPr>
                      <m:t>baseline</m:t>
                    </m:r>
                  </m:sub>
                </m:sSub>
                <m:r>
                  <m:rPr>
                    <m:nor/>
                  </m:rPr>
                  <m:t>-</m:t>
                </m:r>
                <m:r>
                  <m:rPr>
                    <m:nor/>
                  </m:rPr>
                  <m:t>5</m:t>
                </m:r>
              </m:sup>
            </m:sSubSup>
            <m:r>
              <m:rPr>
                <m:nor/>
              </m:rPr>
              <m:t> </m:t>
            </m:r>
            <m:sSub>
              <m:e>
                <m:r>
                  <m:rPr>
                    <m:nor/>
                  </m:rPr>
                  <m:t>d</m:t>
                </m:r>
              </m:e>
              <m:sub>
                <m:r>
                  <m:rPr>
                    <m:nor/>
                  </m:rPr>
                  <m:t>iy</m:t>
                </m:r>
              </m:sub>
            </m:sSub>
            <m:r>
              <m:rPr>
                <m:nor/>
              </m:rPr>
              <m:t>log</m:t>
            </m:r>
            <m:r>
              <m:rPr>
                <m:nor/>
              </m:rPr>
              <m:t>{</m:t>
            </m:r>
            <m:r>
              <m:rPr>
                <m:nor/>
              </m:rPr>
              <m:t>1</m:t>
            </m:r>
            <m:r>
              <m:rPr>
                <m:nor/>
              </m:rPr>
              <m:t>+</m:t>
            </m:r>
            <m:sSub>
              <m:e>
                <m:r>
                  <m:rPr>
                    <m:nor/>
                  </m:rPr>
                  <m:t>A</m:t>
                </m:r>
              </m:e>
              <m:sub>
                <m:r>
                  <m:rPr>
                    <m:nor/>
                  </m:rPr>
                  <m:t>iy</m:t>
                </m:r>
              </m:sub>
            </m:sSub>
            <m:r>
              <m:rPr>
                <m:nor/>
              </m:rPr>
              <m:t>(</m:t>
            </m:r>
            <m:r>
              <m:rPr>
                <m:nor/>
              </m:rPr>
              <m:t>1</m:t>
            </m:r>
            <m:r>
              <m:rPr>
                <m:nor/>
              </m:rPr>
              <m:t>-</m:t>
            </m:r>
            <m:r>
              <m:rPr>
                <m:nor/>
              </m:rPr>
              <m:t>km</m:t>
            </m:r>
            <m:r>
              <m:rPr>
                <m:nor/>
              </m:rPr>
              <m:t>)</m:t>
            </m:r>
            <m:r>
              <m:rPr>
                <m:nor/>
              </m:rPr>
              <m:t>/</m:t>
            </m:r>
            <m:sSub>
              <m:e>
                <m:r>
                  <m:rPr>
                    <m:nor/>
                  </m:rPr>
                  <m:t>u</m:t>
                </m:r>
              </m:e>
              <m:sub>
                <m:r>
                  <m:rPr>
                    <m:nor/>
                  </m:rPr>
                  <m:t>0</m:t>
                </m:r>
              </m:sub>
            </m:sSub>
            <m:r>
              <m:rPr>
                <m:nor/>
              </m:rPr>
              <m:t>}</m:t>
            </m:r>
            <m:r>
              <m:rPr>
                <m:nor/>
              </m:rPr>
              <m:t> </m:t>
            </m:r>
          </m:num>
          <m:den>
            <m:r>
              <m:rPr>
                <m:nor/>
              </m:rPr>
              <m:t> </m:t>
            </m:r>
            <m:sSubSup>
              <m:e>
                <m:r>
                  <m:rPr>
                    <m:nor/>
                  </m:rPr>
                  <m:t>∑</m:t>
                </m:r>
              </m:e>
              <m:sub>
                <m:r>
                  <m:rPr>
                    <m:nor/>
                  </m:rPr>
                  <m:t>y</m:t>
                </m:r>
                <m:r>
                  <m:rPr>
                    <m:nor/>
                  </m:rPr>
                  <m:t>=</m:t>
                </m:r>
                <m:sSub>
                  <m:e>
                    <m:r>
                      <m:rPr>
                        <m:nor/>
                      </m:rPr>
                      <m:t>y</m:t>
                    </m:r>
                  </m:e>
                  <m:sub>
                    <m:r>
                      <m:rPr>
                        <m:nor/>
                      </m:rPr>
                      <m:t>birth</m:t>
                    </m:r>
                  </m:sub>
                </m:sSub>
              </m:sub>
              <m:sup>
                <m:sSub>
                  <m:e>
                    <m:r>
                      <m:rPr>
                        <m:nor/>
                      </m:rPr>
                      <m:t>y</m:t>
                    </m:r>
                  </m:e>
                  <m:sub>
                    <m:r>
                      <m:rPr>
                        <m:nor/>
                      </m:rPr>
                      <m:t>baseline</m:t>
                    </m:r>
                  </m:sub>
                </m:sSub>
                <m:r>
                  <m:rPr>
                    <m:nor/>
                  </m:rPr>
                  <m:t>-</m:t>
                </m:r>
                <m:r>
                  <m:rPr>
                    <m:nor/>
                  </m:rPr>
                  <m:t>5</m:t>
                </m:r>
              </m:sup>
            </m:sSubSup>
            <m:sSub>
              <m:e>
                <m:r>
                  <m:rPr>
                    <m:nor/>
                  </m:rPr>
                  <m:t>d</m:t>
                </m:r>
              </m:e>
              <m:sub>
                <m:r>
                  <m:rPr>
                    <m:nor/>
                  </m:rPr>
                  <m:t>iy</m:t>
                </m:r>
              </m:sub>
            </m:sSub>
            <m:r>
              <m:rPr>
                <m:nor/>
              </m:rPr>
              <m:t> </m:t>
            </m:r>
          </m:den>
        </m:f>
        <m:r>
          <m:rPr>
            <m:nor/>
          </m:rPr>
          <m:t>,</m:t>
        </m:r>
      </m:oMath>
    </w:p>
    <w:p>
      <w:pPr>
        <w:keepLines w:val="0"/>
        <w:jc w:val="both"/>
      </w:pPr>
      <w:r>
        <w:rPr>
          <w:rFonts w:ascii="Times New Roman" w:hAnsi="Times New Roman" w:eastAsia="Times New Roman"/>
          <w:b w:val="0"/>
          <w:color w:val="000000"/>
          <w:sz w:val="20"/>
        </w:rPr>
        <w:t xml:space="preserve">where </w:t>
      </w:r>
      <m:oMath>
        <m:sSub>
          <m:e>
            <m:r>
              <m:rPr>
                <m:nor/>
              </m:rPr>
              <m:t>d</m:t>
            </m:r>
          </m:e>
          <m:sub>
            <m:r>
              <m:rPr>
                <m:nor/>
              </m:rPr>
              <m:t>iy</m:t>
            </m:r>
          </m:sub>
        </m:sSub>
      </m:oMath>
      <w:r>
        <w:rPr>
          <w:rFonts w:ascii="Times New Roman" w:hAnsi="Times New Roman" w:eastAsia="Times New Roman"/>
          <w:b w:val="0"/>
          <w:color w:val="000000"/>
          <w:sz w:val="20"/>
        </w:rPr>
        <w:t xml:space="preserve"> is the fraction of year </w:t>
      </w:r>
      <m:oMath>
        <m:r>
          <m:rPr>
            <m:nor/>
          </m:rPr>
          <m:t>y</m:t>
        </m:r>
      </m:oMath>
      <w:r>
        <w:rPr>
          <w:rFonts w:ascii="Times New Roman" w:hAnsi="Times New Roman" w:eastAsia="Times New Roman"/>
          <w:b w:val="0"/>
          <w:color w:val="000000"/>
          <w:sz w:val="20"/>
        </w:rPr>
        <w:t xml:space="preserve"> at an address, </w:t>
      </w:r>
      <m:oMath>
        <m:sSub>
          <m:e>
            <m:r>
              <m:rPr>
                <m:nor/>
              </m:rPr>
              <m:t>A</m:t>
            </m:r>
          </m:e>
          <m:sub>
            <m:r>
              <m:rPr>
                <m:nor/>
              </m:rPr>
              <m:t>iy</m:t>
            </m:r>
          </m:sub>
        </m:sSub>
        <m:r>
          <m:rPr>
            <m:nor/>
          </m:rPr>
          <m:t>(</m:t>
        </m:r>
        <m:r>
          <m:rPr>
            <m:nor/>
          </m:rPr>
          <m:t>1</m:t>
        </m:r>
        <m:r>
          <m:rPr>
            <m:nor/>
          </m:rPr>
          <m:t>-</m:t>
        </m:r>
        <m:r>
          <m:rPr>
            <m:nor/>
          </m:rPr>
          <m:t>km</m:t>
        </m:r>
        <m:r>
          <m:rPr>
            <m:nor/>
          </m:rPr>
          <m:t>)</m:t>
        </m:r>
      </m:oMath>
      <w:r>
        <w:rPr>
          <w:rFonts w:ascii="Times New Roman" w:hAnsi="Times New Roman" w:eastAsia="Times New Roman"/>
          <w:b w:val="0"/>
          <w:color w:val="000000"/>
          <w:sz w:val="20"/>
        </w:rPr>
        <w:t xml:space="preserve"> is externally estimated active-ingredient application intensity within 1 km, and </w:t>
      </w:r>
      <m:oMath>
        <m:sSub>
          <m:e>
            <m:r>
              <m:rPr>
                <m:nor/>
              </m:rPr>
              <m:t>u</m:t>
            </m:r>
          </m:e>
          <m:sub>
            <m:r>
              <m:rPr>
                <m:nor/>
              </m:rPr>
              <m:t>0</m:t>
            </m:r>
          </m:sub>
        </m:sSub>
      </m:oMath>
      <w:r>
        <w:rPr>
          <w:rFonts w:ascii="Times New Roman" w:hAnsi="Times New Roman" w:eastAsia="Times New Roman"/>
          <w:b w:val="0"/>
          <w:color w:val="000000"/>
          <w:sz w:val="20"/>
        </w:rPr>
        <w:t xml:space="preserve"> is the fixed mass-per-area-per-year reference unit. Government application records are preferred; crop-specific administrative or remote-sensing models require external cross-calibration. Occupational exposure is recorded separately.</w:t>
      </w:r>
    </w:p>
    <w:p>
      <w:pPr>
        <w:keepLines w:val="0"/>
        <w:jc w:val="both"/>
      </w:pPr>
      <w:r>
        <w:rPr>
          <w:rFonts w:ascii="Times New Roman" w:hAnsi="Times New Roman" w:eastAsia="Times New Roman"/>
          <w:b w:val="0"/>
          <w:color w:val="000000"/>
          <w:sz w:val="20"/>
        </w:rPr>
        <w:t>If the untreated-well candidate is selected:</w:t>
      </w:r>
    </w:p>
    <w:p>
      <w:pPr>
        <w:keepLines/>
        <w:spacing w:before="80" w:after="120"/>
        <w:jc w:val="center"/>
      </w:pPr>
      <m:oMath>
        <m:sSubSup>
          <m:e>
            <m:r>
              <m:rPr>
                <m:nor/>
              </m:rPr>
              <m:t>E</m:t>
            </m:r>
          </m:e>
          <m:sub>
            <m:r>
              <m:rPr>
                <m:nor/>
              </m:rPr>
              <m:t>i</m:t>
            </m:r>
            <m:r>
              <m:rPr>
                <m:nor/>
              </m:rPr>
              <m:t>,</m:t>
            </m:r>
            <m:r>
              <m:rPr>
                <m:nor/>
              </m:rPr>
              <m:t>well</m:t>
            </m:r>
          </m:sub>
          <m:sup>
            <m:r>
              <m:rPr>
                <m:nor/>
              </m:rPr>
              <m:t>*</m:t>
            </m:r>
          </m:sup>
        </m:sSubSup>
        <m:r>
          <m:rPr>
            <m:nor/>
          </m:rPr>
          <m:t>=</m:t>
        </m:r>
        <m:r>
          <m:rPr>
            <m:nor/>
          </m:rPr>
          <m:t> </m:t>
        </m:r>
        <m:f>
          <m:num>
            <m:r>
              <m:rPr>
                <m:nor/>
              </m:rPr>
              <m:t> </m:t>
            </m:r>
            <m:sSubSup>
              <m:e>
                <m:r>
                  <m:rPr>
                    <m:nor/>
                  </m:rPr>
                  <m:t>∑</m:t>
                </m:r>
              </m:e>
              <m:sub>
                <m:r>
                  <m:rPr>
                    <m:nor/>
                  </m:rPr>
                  <m:t>y</m:t>
                </m:r>
                <m:r>
                  <m:rPr>
                    <m:nor/>
                  </m:rPr>
                  <m:t>=</m:t>
                </m:r>
                <m:sSub>
                  <m:e>
                    <m:r>
                      <m:rPr>
                        <m:nor/>
                      </m:rPr>
                      <m:t>y</m:t>
                    </m:r>
                  </m:e>
                  <m:sub>
                    <m:r>
                      <m:rPr>
                        <m:nor/>
                      </m:rPr>
                      <m:t>birth</m:t>
                    </m:r>
                  </m:sub>
                </m:sSub>
              </m:sub>
              <m:sup>
                <m:sSub>
                  <m:e>
                    <m:r>
                      <m:rPr>
                        <m:nor/>
                      </m:rPr>
                      <m:t>y</m:t>
                    </m:r>
                  </m:e>
                  <m:sub>
                    <m:r>
                      <m:rPr>
                        <m:nor/>
                      </m:rPr>
                      <m:t>baseline</m:t>
                    </m:r>
                  </m:sub>
                </m:sSub>
                <m:r>
                  <m:rPr>
                    <m:nor/>
                  </m:rPr>
                  <m:t>-</m:t>
                </m:r>
                <m:r>
                  <m:rPr>
                    <m:nor/>
                  </m:rPr>
                  <m:t>5</m:t>
                </m:r>
              </m:sup>
            </m:sSubSup>
            <m:sSub>
              <m:e>
                <m:r>
                  <m:rPr>
                    <m:nor/>
                  </m:rPr>
                  <m:t>d</m:t>
                </m:r>
              </m:e>
              <m:sub>
                <m:r>
                  <m:rPr>
                    <m:nor/>
                  </m:rPr>
                  <m:t>iy</m:t>
                </m:r>
              </m:sub>
            </m:sSub>
            <m:sSub>
              <m:e>
                <m:r>
                  <m:rPr>
                    <m:nor/>
                  </m:rPr>
                  <m:t>W</m:t>
                </m:r>
              </m:e>
              <m:sub>
                <m:r>
                  <m:rPr>
                    <m:nor/>
                  </m:rPr>
                  <m:t>iy</m:t>
                </m:r>
              </m:sub>
            </m:sSub>
            <m:r>
              <m:rPr>
                <m:nor/>
              </m:rPr>
              <m:t> </m:t>
            </m:r>
          </m:num>
          <m:den>
            <m:r>
              <m:rPr>
                <m:nor/>
              </m:rPr>
              <m:t> </m:t>
            </m:r>
            <m:sSubSup>
              <m:e>
                <m:r>
                  <m:rPr>
                    <m:nor/>
                  </m:rPr>
                  <m:t>∑</m:t>
                </m:r>
              </m:e>
              <m:sub>
                <m:r>
                  <m:rPr>
                    <m:nor/>
                  </m:rPr>
                  <m:t>y</m:t>
                </m:r>
                <m:r>
                  <m:rPr>
                    <m:nor/>
                  </m:rPr>
                  <m:t>=</m:t>
                </m:r>
                <m:sSub>
                  <m:e>
                    <m:r>
                      <m:rPr>
                        <m:nor/>
                      </m:rPr>
                      <m:t>y</m:t>
                    </m:r>
                  </m:e>
                  <m:sub>
                    <m:r>
                      <m:rPr>
                        <m:nor/>
                      </m:rPr>
                      <m:t>birth</m:t>
                    </m:r>
                  </m:sub>
                </m:sSub>
              </m:sub>
              <m:sup>
                <m:sSub>
                  <m:e>
                    <m:r>
                      <m:rPr>
                        <m:nor/>
                      </m:rPr>
                      <m:t>y</m:t>
                    </m:r>
                  </m:e>
                  <m:sub>
                    <m:r>
                      <m:rPr>
                        <m:nor/>
                      </m:rPr>
                      <m:t>baseline</m:t>
                    </m:r>
                  </m:sub>
                </m:sSub>
                <m:r>
                  <m:rPr>
                    <m:nor/>
                  </m:rPr>
                  <m:t>-</m:t>
                </m:r>
                <m:r>
                  <m:rPr>
                    <m:nor/>
                  </m:rPr>
                  <m:t>5</m:t>
                </m:r>
              </m:sup>
            </m:sSubSup>
            <m:sSub>
              <m:e>
                <m:r>
                  <m:rPr>
                    <m:nor/>
                  </m:rPr>
                  <m:t>d</m:t>
                </m:r>
              </m:e>
              <m:sub>
                <m:r>
                  <m:rPr>
                    <m:nor/>
                  </m:rPr>
                  <m:t>iy</m:t>
                </m:r>
              </m:sub>
            </m:sSub>
            <m:r>
              <m:rPr>
                <m:nor/>
              </m:rPr>
              <m:t> </m:t>
            </m:r>
          </m:den>
        </m:f>
        <m:r>
          <m:rPr>
            <m:nor/>
          </m:rPr>
          <m:t>,</m:t>
        </m:r>
      </m:oMath>
    </w:p>
    <w:p>
      <w:pPr>
        <w:keepLines w:val="0"/>
        <w:jc w:val="both"/>
      </w:pPr>
      <w:r>
        <w:rPr>
          <w:rFonts w:ascii="Times New Roman" w:hAnsi="Times New Roman" w:eastAsia="Times New Roman"/>
          <w:b w:val="0"/>
          <w:color w:val="000000"/>
          <w:sz w:val="20"/>
        </w:rPr>
        <w:t xml:space="preserve">where </w:t>
      </w:r>
      <m:oMath>
        <m:sSub>
          <m:e>
            <m:r>
              <m:rPr>
                <m:nor/>
              </m:rPr>
              <m:t>W</m:t>
            </m:r>
          </m:e>
          <m:sub>
            <m:r>
              <m:rPr>
                <m:nor/>
              </m:rPr>
              <m:t>iy</m:t>
            </m:r>
          </m:sub>
        </m:sSub>
        <m:r>
          <m:rPr>
            <m:nor/>
          </m:rPr>
          <m:t>=</m:t>
        </m:r>
        <m:r>
          <m:rPr>
            <m:nor/>
          </m:rPr>
          <m:t>1</m:t>
        </m:r>
      </m:oMath>
      <w:r>
        <w:rPr>
          <w:rFonts w:ascii="Times New Roman" w:hAnsi="Times New Roman" w:eastAsia="Times New Roman"/>
          <w:b w:val="0"/>
          <w:color w:val="000000"/>
          <w:sz w:val="20"/>
        </w:rPr>
        <w:t xml:space="preserve"> only when individual address-year records establish untreated private-well use and is 0 for a documented treated public supply. Unknown source-years do not default to 0 and count against coverage. Water analytes are calibration or exploratory variables, not outcome-selected weights in the primary score.</w:t>
      </w:r>
    </w:p>
    <w:p>
      <w:pPr>
        <w:keepLines w:val="0"/>
        <w:jc w:val="both"/>
      </w:pPr>
      <w:r>
        <w:rPr>
          <w:rFonts w:ascii="Times New Roman" w:hAnsi="Times New Roman" w:eastAsia="Times New Roman"/>
          <w:b w:val="0"/>
          <w:color w:val="000000"/>
          <w:sz w:val="20"/>
        </w:rPr>
        <w:t>The five-year lag reduces reverse causation from prodromal relocation or occupational change. Alternative 0-, 10-, and 20-year lags and childhood/adult windows are sensitivity or exploratory analyses.</w:t>
      </w:r>
    </w:p>
    <w:p>
      <w:pPr>
        <w:keepLines w:val="0"/>
        <w:jc w:val="both"/>
      </w:pPr>
      <w:r>
        <w:rPr>
          <w:rFonts w:ascii="Times New Roman" w:hAnsi="Times New Roman" w:eastAsia="Times New Roman"/>
          <w:b w:val="0"/>
          <w:color w:val="000000"/>
          <w:sz w:val="20"/>
        </w:rPr>
        <w:t xml:space="preserve">The selected formula above remains the measured operationalization </w:t>
      </w:r>
      <m:oMath>
        <m:r>
          <m:rPr>
            <m:nor/>
          </m:rPr>
          <m:t>E</m:t>
        </m:r>
        <m:r>
          <m:rPr>
            <m:nor/>
          </m:rPr>
          <m:t>*</m:t>
        </m:r>
      </m:oMath>
      <w:r>
        <w:rPr>
          <w:rFonts w:ascii="Times New Roman" w:hAnsi="Times New Roman" w:eastAsia="Times New Roman"/>
          <w:b w:val="0"/>
          <w:color w:val="000000"/>
          <w:sz w:val="20"/>
        </w:rPr>
        <w:t>. The confirmatory analytic score is</w:t>
      </w:r>
    </w:p>
    <w:p>
      <w:pPr>
        <w:keepLines/>
        <w:spacing w:before="80" w:after="120"/>
        <w:jc w:val="center"/>
      </w:pPr>
      <m:oMath>
        <m:sSubSup>
          <m:e>
            <m:r>
              <m:rPr>
                <m:nor/>
              </m:rPr>
              <m:t>S</m:t>
            </m:r>
          </m:e>
          <m:sub>
            <m:r>
              <m:rPr>
                <m:nor/>
              </m:rPr>
              <m:t>i</m:t>
            </m:r>
          </m:sub>
          <m:sup>
            <m:r>
              <m:rPr>
                <m:nor/>
              </m:rPr>
              <m:t>*</m:t>
            </m:r>
          </m:sup>
        </m:sSubSup>
        <m:r>
          <m:rPr>
            <m:nor/>
          </m:rPr>
          <m:t>=</m:t>
        </m:r>
        <m:r>
          <m:rPr>
            <m:nor/>
          </m:rPr>
          <m:t>h</m:t>
        </m:r>
        <m:r>
          <m:rPr>
            <m:nor/>
          </m:rPr>
          <m:t>(</m:t>
        </m:r>
        <m:sSubSup>
          <m:e>
            <m:r>
              <m:rPr>
                <m:nor/>
              </m:rPr>
              <m:t>E</m:t>
            </m:r>
          </m:e>
          <m:sub>
            <m:r>
              <m:rPr>
                <m:nor/>
              </m:rPr>
              <m:t>i</m:t>
            </m:r>
          </m:sub>
          <m:sup>
            <m:r>
              <m:rPr>
                <m:nor/>
              </m:rPr>
              <m:t>*</m:t>
            </m:r>
          </m:sup>
        </m:sSubSup>
        <m:r>
          <m:rPr>
            <m:nor/>
          </m:rPr>
          <m:t>;</m:t>
        </m:r>
        <m:r>
          <m:rPr>
            <m:nor/>
          </m:rPr>
          <m:t>θ</m:t>
        </m:r>
        <m:r>
          <m:rPr>
            <m:nor/>
          </m:rPr>
          <m:t>)</m:t>
        </m:r>
        <m:r>
          <m:rPr>
            <m:nor/>
          </m:rPr>
          <m:t>=</m:t>
        </m:r>
        <m:r>
          <m:rPr>
            <m:nor/>
          </m:rPr>
          <m:t> </m:t>
        </m:r>
        <m:f>
          <m:num>
            <m:r>
              <m:rPr>
                <m:nor/>
              </m:rPr>
              <m:t>cap</m:t>
            </m:r>
            <m:r>
              <m:rPr>
                <m:nor/>
              </m:rPr>
              <m:t>(</m:t>
            </m:r>
            <m:sSubSup>
              <m:e>
                <m:r>
                  <m:rPr>
                    <m:nor/>
                  </m:rPr>
                  <m:t>E</m:t>
                </m:r>
              </m:e>
              <m:sub>
                <m:r>
                  <m:rPr>
                    <m:nor/>
                  </m:rPr>
                  <m:t>i</m:t>
                </m:r>
              </m:sub>
              <m:sup>
                <m:r>
                  <m:rPr>
                    <m:nor/>
                  </m:rPr>
                  <m:t>*</m:t>
                </m:r>
              </m:sup>
            </m:sSubSup>
            <m:r>
              <m:rPr>
                <m:nor/>
              </m:rPr>
              <m:t>)</m:t>
            </m:r>
            <m:r>
              <m:rPr>
                <m:nor/>
              </m:rPr>
              <m:t>-</m:t>
            </m:r>
            <m:r>
              <m:rPr>
                <m:nor/>
              </m:rPr>
              <m:t>median</m:t>
            </m:r>
            <m:r>
              <m:rPr>
                <m:nor/>
              </m:rPr>
              <m:t>{</m:t>
            </m:r>
            <m:r>
              <m:rPr>
                <m:nor/>
              </m:rPr>
              <m:t>cap</m:t>
            </m:r>
            <m:r>
              <m:rPr>
                <m:nor/>
              </m:rPr>
              <m:t>(</m:t>
            </m:r>
            <m:sSup>
              <m:e>
                <m:r>
                  <m:rPr>
                    <m:nor/>
                  </m:rPr>
                  <m:t>E</m:t>
                </m:r>
              </m:e>
              <m:sup>
                <m:r>
                  <m:rPr>
                    <m:nor/>
                  </m:rPr>
                  <m:t>*</m:t>
                </m:r>
              </m:sup>
            </m:sSup>
            <m:r>
              <m:rPr>
                <m:nor/>
              </m:rPr>
              <m:t>)</m:t>
            </m:r>
            <m:r>
              <m:rPr>
                <m:nor/>
              </m:rPr>
              <m:t>}</m:t>
            </m:r>
          </m:num>
          <m:den>
            <m:r>
              <m:rPr>
                <m:nor/>
              </m:rPr>
              <m:t> </m:t>
            </m:r>
          </m:den>
        </m:f>
        <m:r>
          <m:rPr>
            <m:nor/>
          </m:rPr>
          <m:t>IQR</m:t>
        </m:r>
        <m:r>
          <m:rPr>
            <m:nor/>
          </m:rPr>
          <m:t>{</m:t>
        </m:r>
        <m:r>
          <m:rPr>
            <m:nor/>
          </m:rPr>
          <m:t>cap</m:t>
        </m:r>
        <m:r>
          <m:rPr>
            <m:nor/>
          </m:rPr>
          <m:t>(</m:t>
        </m:r>
        <m:sSup>
          <m:e>
            <m:r>
              <m:rPr>
                <m:nor/>
              </m:rPr>
              <m:t>E</m:t>
            </m:r>
          </m:e>
          <m:sup>
            <m:r>
              <m:rPr>
                <m:nor/>
              </m:rPr>
              <m:t>*</m:t>
            </m:r>
          </m:sup>
        </m:sSup>
        <m:r>
          <m:rPr>
            <m:nor/>
          </m:rPr>
          <m:t>)</m:t>
        </m:r>
        <m:r>
          <m:rPr>
            <m:nor/>
          </m:rPr>
          <m:t>}</m:t>
        </m:r>
        <m:r>
          <m:rPr>
            <m:nor/>
          </m:rPr>
          <m:t>,</m:t>
        </m:r>
      </m:oMath>
    </w:p>
    <w:p>
      <w:pPr>
        <w:keepLines w:val="0"/>
        <w:jc w:val="both"/>
      </w:pPr>
      <w:r>
        <w:rPr>
          <w:rFonts w:ascii="Times New Roman" w:hAnsi="Times New Roman" w:eastAsia="Times New Roman"/>
          <w:b w:val="0"/>
          <w:color w:val="000000"/>
          <w:sz w:val="20"/>
        </w:rPr>
        <w:t xml:space="preserve">where the top-coding rule </w:t>
      </w:r>
      <m:oMath>
        <m:r>
          <m:rPr>
            <m:nor/>
          </m:rPr>
          <m:t>cap</m:t>
        </m:r>
      </m:oMath>
      <w:r>
        <w:rPr>
          <w:rFonts w:ascii="Times New Roman" w:hAnsi="Times New Roman" w:eastAsia="Times New Roman"/>
          <w:b w:val="0"/>
          <w:color w:val="000000"/>
          <w:sz w:val="20"/>
        </w:rPr>
        <w:t xml:space="preserve">, eligible exposure-only population, median, and interquartile range are frozen without any SCA outcome. If the interquartile range is zero or common support fails, the confirmatory environmental analysis is no-go. This rank-preserving scaling makes effect units reproducible; it does not make </w:t>
      </w:r>
      <m:oMath>
        <m:r>
          <m:rPr>
            <m:nor/>
          </m:rPr>
          <m:t>S</m:t>
        </m:r>
        <m:r>
          <m:rPr>
            <m:nor/>
          </m:rPr>
          <m:t>*</m:t>
        </m:r>
      </m:oMath>
      <w:r>
        <w:rPr>
          <w:rFonts w:ascii="Times New Roman" w:hAnsi="Times New Roman" w:eastAsia="Times New Roman"/>
          <w:b w:val="0"/>
          <w:color w:val="000000"/>
          <w:sz w:val="20"/>
        </w:rPr>
        <w:t xml:space="preserve"> a measurement of </w:t>
      </w:r>
      <m:oMath>
        <m:r>
          <m:rPr>
            <m:nor/>
          </m:rPr>
          <m:t>X</m:t>
        </m:r>
      </m:oMath>
      <w:r>
        <w:rPr>
          <w:rFonts w:ascii="Times New Roman" w:hAnsi="Times New Roman" w:eastAsia="Times New Roman"/>
          <w:b w:val="0"/>
          <w:color w:val="000000"/>
          <w:sz w:val="20"/>
        </w:rPr>
        <w:t xml:space="preserve">. All confirmatory spline knots and contrasts are defined on </w:t>
      </w:r>
      <m:oMath>
        <m:r>
          <m:rPr>
            <m:nor/>
          </m:rPr>
          <m:t>S</m:t>
        </m:r>
        <m:r>
          <m:rPr>
            <m:nor/>
          </m:rPr>
          <m:t>*</m:t>
        </m:r>
      </m:oMath>
      <w:r>
        <w:rPr>
          <w:rFonts w:ascii="Times New Roman" w:hAnsi="Times New Roman" w:eastAsia="Times New Roman"/>
          <w:b w:val="0"/>
          <w:color w:val="000000"/>
          <w:sz w:val="20"/>
        </w:rPr>
        <w:t>.</w:t>
      </w:r>
    </w:p>
    <w:p>
      <w:pPr>
        <w:pStyle w:val="Heading3"/>
      </w:pPr>
      <w:r>
        <w:rPr>
          <w:rFonts w:ascii="Times New Roman" w:hAnsi="Times New Roman" w:eastAsia="Times New Roman"/>
          <w:b/>
          <w:color w:val="000000"/>
          <w:sz w:val="20"/>
        </w:rPr>
        <w:t>5.3 Freeze procedure</w:t>
      </w:r>
    </w:p>
    <w:p>
      <w:pPr>
        <w:keepLines w:val="0"/>
        <w:jc w:val="both"/>
      </w:pPr>
      <w:r>
        <w:rPr>
          <w:rFonts w:ascii="Times New Roman" w:hAnsi="Times New Roman" w:eastAsia="Times New Roman"/>
          <w:b w:val="0"/>
          <w:color w:val="000000"/>
          <w:sz w:val="20"/>
        </w:rPr>
        <w:t xml:space="preserve">Before any confirmatory analyst receives outcome-linked exposure data, the exposure committee will publish an </w:t>
      </w:r>
      <w:r>
        <w:rPr>
          <w:rFonts w:ascii="Times New Roman" w:hAnsi="Times New Roman" w:eastAsia="Times New Roman"/>
          <w:b w:val="0"/>
          <w:i/>
          <w:color w:val="000000"/>
          <w:sz w:val="20"/>
        </w:rPr>
        <w:t>E*/S* Specification Memorandum</w:t>
      </w:r>
      <w:r>
        <w:rPr>
          <w:rFonts w:ascii="Times New Roman" w:hAnsi="Times New Roman" w:eastAsia="Times New Roman"/>
          <w:b w:val="0"/>
          <w:color w:val="000000"/>
          <w:sz w:val="20"/>
        </w:rPr>
        <w:t xml:space="preserve"> containing:</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the shortlist rubric, outcome-blind scores, selected candidate, and tie-break record;</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source databases, version dates, geographic coverage, unit conversions, and cross-calibration;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 xml:space="preserve">geocoding, address-duration, buffer, lag, </w:t>
      </w:r>
      <m:oMath>
        <m:r>
          <m:rPr>
            <m:nor/>
          </m:rPr>
          <m:t>h</m:t>
        </m:r>
      </m:oMath>
      <w:r>
        <w:rPr>
          <w:rFonts w:ascii="Times New Roman" w:hAnsi="Times New Roman" w:eastAsia="Times New Roman"/>
          <w:b w:val="0"/>
          <w:color w:val="000000"/>
          <w:sz w:val="20"/>
        </w:rPr>
        <w:t xml:space="preserve"> transformation, and missing-address rules;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the externally or exposure-only-derived spline knots;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rules for zero exposure and top coding;</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reliability and regional inclusion thresholds;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 cryptographic hash of the executable exposure code and frozen analytic dataset.</w:t>
      </w:r>
    </w:p>
    <w:p>
      <w:pPr>
        <w:keepLines w:val="0"/>
        <w:jc w:val="both"/>
      </w:pPr>
      <w:r>
        <w:rPr>
          <w:rFonts w:ascii="Times New Roman" w:hAnsi="Times New Roman" w:eastAsia="Times New Roman"/>
          <w:b w:val="0"/>
          <w:color w:val="000000"/>
          <w:sz w:val="20"/>
        </w:rPr>
        <w:t xml:space="preserve">No outcome-guided candidate, exposure, lag, buffer, chemical weight, transformation, knot, or cut-point substitution is permitted. A change creates a new exploratory version and does not replace the registered </w:t>
      </w:r>
      <m:oMath>
        <m:r>
          <m:rPr>
            <m:nor/>
          </m:rPr>
          <m:t>E</m:t>
        </m:r>
        <m:r>
          <m:rPr>
            <m:nor/>
          </m:rPr>
          <m:t>*</m:t>
        </m:r>
        <m:r>
          <m:rPr>
            <m:nor/>
          </m:rPr>
          <m:t>/</m:t>
        </m:r>
        <m:r>
          <m:rPr>
            <m:nor/>
          </m:rPr>
          <m:t>S</m:t>
        </m:r>
        <m:r>
          <m:rPr>
            <m:nor/>
          </m:rPr>
          <m:t>*</m:t>
        </m:r>
      </m:oMath>
      <w:r>
        <w:rPr>
          <w:rFonts w:ascii="Times New Roman" w:hAnsi="Times New Roman" w:eastAsia="Times New Roman"/>
          <w:b w:val="0"/>
          <w:color w:val="000000"/>
          <w:sz w:val="20"/>
        </w:rPr>
        <w:t xml:space="preserve"> implementation.</w:t>
      </w:r>
    </w:p>
    <w:p>
      <w:pPr>
        <w:pStyle w:val="Heading3"/>
      </w:pPr>
      <w:r>
        <w:rPr>
          <w:rFonts w:ascii="Times New Roman" w:hAnsi="Times New Roman" w:eastAsia="Times New Roman"/>
          <w:b/>
          <w:color w:val="000000"/>
          <w:sz w:val="20"/>
        </w:rPr>
        <w:t>5.4 Exposure-quality gate</w:t>
      </w:r>
    </w:p>
    <w:p>
      <w:pPr>
        <w:keepLines w:val="0"/>
        <w:jc w:val="both"/>
      </w:pPr>
      <w:r>
        <w:rPr>
          <w:rFonts w:ascii="Times New Roman" w:hAnsi="Times New Roman" w:eastAsia="Times New Roman"/>
          <w:b w:val="0"/>
          <w:color w:val="000000"/>
          <w:sz w:val="20"/>
        </w:rPr>
        <w:t>A region enters the confirmatory exposure analysis only if:</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at least 80% of eligible lifetime person-years are geocoded to the required resolution;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unit conversion and temporal coverage pass central audit;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the exposure distribution contains usable low, middle, and high support, with at least 10% of participants in each prespecified region after pooling rules are applied;</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the calibration substudy does not show reliability so low that the prespecified contrast is uninterpretable.</w:t>
      </w:r>
    </w:p>
    <w:p>
      <w:pPr>
        <w:keepLines w:val="0"/>
        <w:jc w:val="both"/>
      </w:pPr>
      <w:r>
        <w:rPr>
          <w:rFonts w:ascii="Times New Roman" w:hAnsi="Times New Roman" w:eastAsia="Times New Roman"/>
          <w:b w:val="0"/>
          <w:color w:val="000000"/>
          <w:sz w:val="20"/>
        </w:rPr>
        <w:t xml:space="preserve">Participants from regions that fail this gate remain in natural-history and biomarker analyses, but not in the confirmatory </w:t>
      </w:r>
      <m:oMath>
        <m:r>
          <m:rPr>
            <m:nor/>
          </m:rPr>
          <m:t>S</m:t>
        </m:r>
        <m:r>
          <m:rPr>
            <m:nor/>
          </m:rPr>
          <m:t>*</m:t>
        </m:r>
      </m:oMath>
      <w:r>
        <w:rPr>
          <w:rFonts w:ascii="Times New Roman" w:hAnsi="Times New Roman" w:eastAsia="Times New Roman"/>
          <w:b w:val="0"/>
          <w:color w:val="000000"/>
          <w:sz w:val="20"/>
        </w:rPr>
        <w:t xml:space="preserve"> estimand.</w:t>
      </w:r>
    </w:p>
    <w:p>
      <w:pPr>
        <w:pStyle w:val="Heading3"/>
      </w:pPr>
      <w:r>
        <w:rPr>
          <w:rFonts w:ascii="Times New Roman" w:hAnsi="Times New Roman" w:eastAsia="Times New Roman"/>
          <w:b/>
          <w:color w:val="000000"/>
          <w:sz w:val="20"/>
        </w:rPr>
        <w:t>5.5 Calibration and secondary exposures</w:t>
      </w:r>
    </w:p>
    <w:p>
      <w:pPr>
        <w:keepLines w:val="0"/>
        <w:jc w:val="both"/>
      </w:pPr>
      <w:r>
        <w:rPr>
          <w:rFonts w:ascii="Times New Roman" w:hAnsi="Times New Roman" w:eastAsia="Times New Roman"/>
          <w:b w:val="0"/>
          <w:color w:val="000000"/>
          <w:sz w:val="20"/>
        </w:rPr>
        <w:t>A nested calibration sample will provide repeated current-exposure measures, where feasible: three non-consecutive first-morning urine samples during a sampling week, a current household water sample, occupational history, and contemporaneous land-use data. These measurements assess current calibration and short-term variability; they do not reconstruct lifetime dose by themselves.</w:t>
      </w:r>
    </w:p>
    <w:p>
      <w:pPr>
        <w:keepLines w:val="0"/>
        <w:jc w:val="both"/>
      </w:pPr>
      <w:r>
        <w:rPr>
          <w:rFonts w:ascii="Times New Roman" w:hAnsi="Times New Roman" w:eastAsia="Times New Roman"/>
          <w:b w:val="0"/>
          <w:color w:val="000000"/>
          <w:sz w:val="20"/>
        </w:rPr>
        <w:t>The nonselected shortlist candidate, rurality, occupational measures, alternative proximity metrics, and individual chemical analytes are secondary or exploratory. They cannot be promoted to the primary exposure based on observed association strength.</w:t>
      </w:r>
    </w:p>
    <w:p>
      <w:pPr>
        <w:pStyle w:val="Heading2"/>
      </w:pPr>
      <w:r>
        <w:rPr>
          <w:rFonts w:ascii="Times New Roman" w:hAnsi="Times New Roman" w:eastAsia="Times New Roman"/>
          <w:b/>
          <w:color w:val="000000"/>
          <w:sz w:val="22"/>
        </w:rPr>
        <w:t>6. Outcomes</w:t>
      </w:r>
    </w:p>
    <w:p>
      <w:pPr>
        <w:pStyle w:val="Heading3"/>
      </w:pPr>
      <w:r>
        <w:rPr>
          <w:rFonts w:ascii="Times New Roman" w:hAnsi="Times New Roman" w:eastAsia="Times New Roman"/>
          <w:b/>
          <w:color w:val="000000"/>
          <w:sz w:val="20"/>
        </w:rPr>
        <w:t>6.1 Primary composite phenoconversion outcome</w:t>
      </w:r>
    </w:p>
    <w:p>
      <w:pPr>
        <w:keepLines w:val="0"/>
        <w:jc w:val="both"/>
      </w:pPr>
      <w:r>
        <w:rPr>
          <w:rFonts w:ascii="Times New Roman" w:hAnsi="Times New Roman" w:eastAsia="Times New Roman"/>
          <w:b w:val="0"/>
          <w:color w:val="000000"/>
          <w:sz w:val="20"/>
        </w:rPr>
        <w:t xml:space="preserve">The primary event is </w:t>
      </w:r>
      <w:r>
        <w:rPr>
          <w:rFonts w:ascii="Times New Roman" w:hAnsi="Times New Roman" w:eastAsia="Times New Roman"/>
          <w:b/>
          <w:color w:val="000000"/>
          <w:sz w:val="20"/>
        </w:rPr>
        <w:t>sustained, adjudicated manifest ataxia</w:t>
      </w:r>
      <w:r>
        <w:rPr>
          <w:rFonts w:ascii="Times New Roman" w:hAnsi="Times New Roman" w:eastAsia="Times New Roman"/>
          <w:b w:val="0"/>
          <w:color w:val="000000"/>
          <w:sz w:val="20"/>
        </w:rPr>
        <w:t>, a conjunctive composite requiring all of the following:</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SARA total score 3 or greater at a candidate event visit;</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gait item 1 or greater or a blinded site examiner assessment of probably/definitely manifest gait ataxia;</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val="0"/>
          <w:color w:val="000000"/>
          <w:sz w:val="20"/>
        </w:rPr>
        <w:t xml:space="preserve">central adjudication, blinded to </w:t>
      </w:r>
      <m:oMath>
        <m:r>
          <m:rPr>
            <m:nor/>
          </m:rPr>
          <m:t>E</m:t>
        </m:r>
        <m:r>
          <m:rPr>
            <m:nor/>
          </m:rPr>
          <m:t>*</m:t>
        </m:r>
      </m:oMath>
      <w:r>
        <w:rPr>
          <w:rFonts w:ascii="Times New Roman" w:hAnsi="Times New Roman" w:eastAsia="Times New Roman"/>
          <w:b w:val="0"/>
          <w:color w:val="000000"/>
          <w:sz w:val="20"/>
        </w:rPr>
        <w:t xml:space="preserve"> and </w:t>
      </w:r>
      <m:oMath>
        <m:r>
          <m:rPr>
            <m:nor/>
          </m:rPr>
          <m:t>S</m:t>
        </m:r>
        <m:r>
          <m:rPr>
            <m:nor/>
          </m:rPr>
          <m:t>*</m:t>
        </m:r>
      </m:oMath>
      <w:r>
        <w:rPr>
          <w:rFonts w:ascii="Times New Roman" w:hAnsi="Times New Roman" w:eastAsia="Times New Roman"/>
          <w:b w:val="0"/>
          <w:color w:val="000000"/>
          <w:sz w:val="20"/>
        </w:rPr>
        <w:t>, confirming that the findings represent SCA-related gait ataxia rather than an intercurrent cause;</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val="0"/>
          <w:color w:val="000000"/>
          <w:sz w:val="20"/>
        </w:rPr>
        <w:t>confirmation at the next visit within nine months, with the event assigned to the first qualifying visit.</w:t>
      </w:r>
    </w:p>
    <w:p>
      <w:pPr>
        <w:keepLines w:val="0"/>
        <w:jc w:val="both"/>
      </w:pPr>
      <w:r>
        <w:rPr>
          <w:rFonts w:ascii="Times New Roman" w:hAnsi="Times New Roman" w:eastAsia="Times New Roman"/>
          <w:b w:val="0"/>
          <w:color w:val="000000"/>
          <w:sz w:val="20"/>
        </w:rPr>
        <w:t>When confirmation is unavailable, the adjudication committee applies frozen evidence rules. Insufficient evidence does not automatically create an event. Sensitivity analyses use first SARA 3 or greater, matching RISCA, and first clinician-reported gait onset.</w:t>
      </w:r>
    </w:p>
    <w:p>
      <w:pPr>
        <w:keepLines w:val="0"/>
        <w:jc w:val="both"/>
      </w:pPr>
      <w:r>
        <w:rPr>
          <w:rFonts w:ascii="Times New Roman" w:hAnsi="Times New Roman" w:eastAsia="Times New Roman"/>
          <w:b w:val="0"/>
          <w:color w:val="000000"/>
          <w:sz w:val="20"/>
        </w:rPr>
        <w:t>For a participant who converts between visits, the event age lies within:</w:t>
      </w:r>
    </w:p>
    <w:p>
      <w:pPr>
        <w:keepLines/>
        <w:spacing w:before="80" w:after="120"/>
        <w:jc w:val="center"/>
      </w:pPr>
      <m:oMath>
        <m:r>
          <m:rPr>
            <m:nor/>
          </m:rPr>
          <m:t>(</m:t>
        </m:r>
        <m:sSub>
          <m:e>
            <m:r>
              <m:rPr>
                <m:nor/>
              </m:rPr>
              <m:t>a</m:t>
            </m:r>
          </m:e>
          <m:sub>
            <m:r>
              <m:rPr>
                <m:nor/>
              </m:rPr>
              <m:t>last</m:t>
            </m:r>
            <m:r>
              <m:rPr>
                <m:nor/>
              </m:rPr>
              <m:t> </m:t>
            </m:r>
            <m:r>
              <m:rPr>
                <m:nor/>
              </m:rPr>
              <m:t>definite</m:t>
            </m:r>
            <m:r>
              <m:rPr>
                <m:nor/>
              </m:rPr>
              <m:t> </m:t>
            </m:r>
            <m:r>
              <m:rPr>
                <m:nor/>
              </m:rPr>
              <m:t>preataxic</m:t>
            </m:r>
          </m:sub>
        </m:sSub>
        <m:r>
          <m:rPr>
            <m:nor/>
          </m:rPr>
          <m:t>,</m:t>
        </m:r>
        <m:r>
          <m:rPr>
            <m:nor/>
          </m:rPr>
          <m:t> </m:t>
        </m:r>
        <m:sSub>
          <m:e>
            <m:r>
              <m:rPr>
                <m:nor/>
              </m:rPr>
              <m:t>a</m:t>
            </m:r>
          </m:e>
          <m:sub>
            <m:r>
              <m:rPr>
                <m:nor/>
              </m:rPr>
              <m:t>first</m:t>
            </m:r>
            <m:r>
              <m:rPr>
                <m:nor/>
              </m:rPr>
              <m:t> </m:t>
            </m:r>
            <m:r>
              <m:rPr>
                <m:nor/>
              </m:rPr>
              <m:t>qualifying</m:t>
            </m:r>
            <m:r>
              <m:rPr>
                <m:nor/>
              </m:rPr>
              <m:t> </m:t>
            </m:r>
            <m:r>
              <m:rPr>
                <m:nor/>
              </m:rPr>
              <m:t>manifest</m:t>
            </m:r>
          </m:sub>
        </m:sSub>
        <m:r>
          <m:rPr>
            <m:nor/>
          </m:rPr>
          <m:t>]</m:t>
        </m:r>
        <m:r>
          <m:rPr>
            <m:nor/>
          </m:rPr>
          <m:t>.</m:t>
        </m:r>
      </m:oMath>
    </w:p>
    <w:p>
      <w:pPr>
        <w:keepLines w:val="0"/>
        <w:jc w:val="both"/>
      </w:pPr>
      <w:r>
        <w:rPr>
          <w:rFonts w:ascii="Times New Roman" w:hAnsi="Times New Roman" w:eastAsia="Times New Roman"/>
          <w:b w:val="0"/>
          <w:color w:val="000000"/>
          <w:sz w:val="20"/>
        </w:rPr>
        <w:t>The primary model uses the full interval. Midpoint imputation is prohibited.</w:t>
      </w:r>
    </w:p>
    <w:p>
      <w:pPr>
        <w:pStyle w:val="Heading3"/>
      </w:pPr>
      <w:r>
        <w:rPr>
          <w:rFonts w:ascii="Times New Roman" w:hAnsi="Times New Roman" w:eastAsia="Times New Roman"/>
          <w:b/>
          <w:color w:val="000000"/>
          <w:sz w:val="20"/>
        </w:rPr>
        <w:t>6.2 Key secondary clinical outcomes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SARA total and axial scores, scored by certified raters blinded to exposure and, where feasible, prior score;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f-SARA as a supportive trial-readiness measure;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Inventory of Non-Ataxia Signs and SCA Functional Index;</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first persistent gait aid, recurrent falls, loss of independent ambulation, and work or education disruption;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FARS-ADL, PROM-Ataxia total and ADL domains, PROM-Ataxia short form, Patient Global Impression of Change, and EQ-5D-5L.</w:t>
      </w:r>
    </w:p>
    <w:p>
      <w:pPr>
        <w:keepLines w:val="0"/>
        <w:jc w:val="both"/>
      </w:pPr>
      <w:r>
        <w:rPr>
          <w:rFonts w:ascii="Times New Roman" w:hAnsi="Times New Roman" w:eastAsia="Times New Roman"/>
          <w:b w:val="0"/>
          <w:color w:val="000000"/>
          <w:sz w:val="20"/>
        </w:rPr>
        <w:t>SARA is retained because it is the established longitudinal clinical measure, while recognizing genotype, stage, and cohort heterogeneity (Petit et al., 2024). Patient-reported outcomes are included because early SCA data suggest that ADL measures may change over 24 months even when clinical-scale change is modest (IDEA study, 2025).</w:t>
      </w:r>
    </w:p>
    <w:p>
      <w:pPr>
        <w:pStyle w:val="Heading3"/>
      </w:pPr>
      <w:r>
        <w:rPr>
          <w:rFonts w:ascii="Times New Roman" w:hAnsi="Times New Roman" w:eastAsia="Times New Roman"/>
          <w:b/>
          <w:color w:val="000000"/>
          <w:sz w:val="20"/>
        </w:rPr>
        <w:t>6.3 Fluid biomarkers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plasma NfL at every core visit, measured in a central laboratory with lot-bridging samples;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serum, plasma, whole blood, and urine biobanking;</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creatinine/eGFR, body mass index, acute illness, trauma, and sampling time recorded for interpretation.</w:t>
      </w:r>
    </w:p>
    <w:p>
      <w:pPr>
        <w:keepLines w:val="0"/>
        <w:jc w:val="both"/>
      </w:pPr>
      <w:r>
        <w:rPr>
          <w:rFonts w:ascii="Times New Roman" w:hAnsi="Times New Roman" w:eastAsia="Times New Roman"/>
          <w:b w:val="0"/>
          <w:color w:val="000000"/>
          <w:sz w:val="20"/>
        </w:rPr>
        <w:t>NfL is a candidate axonal-injury biomarker. SCA3 data support prognostic value, but SCA6 evidence is insufficient and neither genotype has an established NfL surrogate endpoint.</w:t>
      </w:r>
    </w:p>
    <w:p>
      <w:pPr>
        <w:pStyle w:val="Heading3"/>
      </w:pPr>
      <w:r>
        <w:rPr>
          <w:rFonts w:ascii="Times New Roman" w:hAnsi="Times New Roman" w:eastAsia="Times New Roman"/>
          <w:b/>
          <w:color w:val="000000"/>
          <w:sz w:val="20"/>
        </w:rPr>
        <w:t>6.4 MRI and MRS</w:t>
      </w:r>
    </w:p>
    <w:p>
      <w:pPr>
        <w:keepLines w:val="0"/>
        <w:jc w:val="both"/>
      </w:pPr>
      <w:r>
        <w:rPr>
          <w:rFonts w:ascii="Times New Roman" w:hAnsi="Times New Roman" w:eastAsia="Times New Roman"/>
          <w:b w:val="0"/>
          <w:color w:val="000000"/>
          <w:sz w:val="20"/>
        </w:rPr>
        <w:t>Structural and diffusion MRI are performed at baseline and annually with harmonized 3T protocols, central segmentation, travelling or physical phantoms, scanner-upgrade logs, and blinded quality control.</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SCA3 prespecified regions: pons and medulla volumes; middle and inferior cerebellar peduncle diffusion measures.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SCA6 prespecified candidate region: total and lobular cerebellar volume. Other regions, including caudate and thalamus, remain exploratory because prior longitudinal samples were small.</w:t>
      </w:r>
    </w:p>
    <w:p>
      <w:pPr>
        <w:keepLines w:val="0"/>
        <w:jc w:val="both"/>
      </w:pPr>
      <w:r>
        <w:rPr>
          <w:rFonts w:ascii="Times New Roman" w:hAnsi="Times New Roman" w:eastAsia="Times New Roman"/>
          <w:b w:val="0"/>
          <w:color w:val="000000"/>
          <w:sz w:val="20"/>
        </w:rPr>
        <w:t>Minimum harmonized MRS is performed at baseline, month 24, and month 60; capable sites acquire annual MRS under the same sequence. Prespecified metabolites are total N-acetylaspartate, myo-inositol, glutamate, and total creatine with tissue-fraction correction. SCA3 volumes of interest include pons and cerebellar white matter; the SCA6 vermis analysis is exploratory. Multisite SCA2/SCA3 test-retest evidence supports feasibility but does not establish longitudinal surrogacy (Joers et al., 2026).</w:t>
      </w:r>
    </w:p>
    <w:p>
      <w:pPr>
        <w:pStyle w:val="Heading3"/>
      </w:pPr>
      <w:r>
        <w:rPr>
          <w:rFonts w:ascii="Times New Roman" w:hAnsi="Times New Roman" w:eastAsia="Times New Roman"/>
          <w:b/>
          <w:color w:val="000000"/>
          <w:sz w:val="20"/>
        </w:rPr>
        <w:t>6.5 Digital gait, balance, and eye movements</w:t>
      </w:r>
    </w:p>
    <w:p>
      <w:pPr>
        <w:keepLines w:val="0"/>
        <w:jc w:val="both"/>
      </w:pPr>
      <w:r>
        <w:rPr>
          <w:rFonts w:ascii="Times New Roman" w:hAnsi="Times New Roman" w:eastAsia="Times New Roman"/>
          <w:b w:val="0"/>
          <w:color w:val="000000"/>
          <w:sz w:val="20"/>
        </w:rPr>
        <w:t>At every core visit, participants complete preferred- and slow-speed walking, stance, turning, and upper-limb tasks using harmonized sensors or validated video capture. Prespecified gait measures include slow-walk lateral sway and stride-length coefficient of variation. A small SCA3 study showed one-year sensitivity, requiring larger validation (Ilg et al., 2022). A seven-day wearable assessment is completed at baseline and quarterly where feasible.</w:t>
      </w:r>
    </w:p>
    <w:p>
      <w:pPr>
        <w:keepLines w:val="0"/>
        <w:jc w:val="both"/>
      </w:pPr>
      <w:r>
        <w:rPr>
          <w:rFonts w:ascii="Times New Roman" w:hAnsi="Times New Roman" w:eastAsia="Times New Roman"/>
          <w:b w:val="0"/>
          <w:color w:val="000000"/>
          <w:sz w:val="20"/>
        </w:rPr>
        <w:t>Video-oculography includes horizontal and vertical saccades, smooth pursuit, eccentric gaze holding, and vestibulo-ocular reflex. Prespecified measures include gaze-evoked or downbeat nystagmus slow-phase velocity, VOR gain, saccade velocity, and dysmetria. Their longitudinal use, especially in SCA6, is considered candidate validation rather than an established endpoint.</w:t>
      </w:r>
    </w:p>
    <w:p>
      <w:pPr>
        <w:pStyle w:val="Heading2"/>
      </w:pPr>
      <w:r>
        <w:rPr>
          <w:rFonts w:ascii="Times New Roman" w:hAnsi="Times New Roman" w:eastAsia="Times New Roman"/>
          <w:b/>
          <w:color w:val="000000"/>
          <w:sz w:val="22"/>
        </w:rPr>
        <w:t>7. Schedule of assessments</w:t>
      </w:r>
    </w:p>
    <w:tbl>
      <w:tblPr>
        <w:tblStyle w:val="TableGrid"/>
        <w:tblW w:type="dxa" w:w="9358"/>
        <w:tblLayout w:type="fixed"/>
        <w:tblLook w:firstColumn="1" w:firstRow="1" w:lastColumn="0" w:lastRow="0" w:noHBand="0" w:noVBand="1" w:val="04A0"/>
        <w:tblInd w:w="120" w:type="dxa"/>
      </w:tblPr>
      <w:tblGrid>
        <w:gridCol w:w="3168"/>
        <w:gridCol w:w="1238"/>
        <w:gridCol w:w="1238"/>
        <w:gridCol w:w="1238"/>
        <w:gridCol w:w="1238"/>
        <w:gridCol w:w="1238"/>
      </w:tblGrid>
      <w:tr>
        <w:trPr>
          <w:tblHeader w:val="true"/>
          <w:cantSplit w:val="true"/>
        </w:trPr>
        <w:tc>
          <w:tcPr>
            <w:tcW w:type="dxa" w:w="3168"/>
            <w:tcMar>
              <w:top w:w="80" w:type="dxa"/>
              <w:start w:w="120" w:type="dxa"/>
              <w:bottom w:w="80" w:type="dxa"/>
              <w:end w:w="120" w:type="dxa"/>
            </w:tcMar>
            <w:vAlign w:val="center"/>
            <w:shd w:fill="EDEDED"/>
          </w:tcPr>
          <w:p>
            <w:pPr>
              <w:spacing w:before="0" w:after="0" w:line="252" w:lineRule="auto"/>
            </w:pPr>
            <w:r>
              <w:rPr>
                <w:rFonts w:ascii="Times New Roman" w:hAnsi="Times New Roman" w:eastAsia="Times New Roman"/>
                <w:b/>
                <w:color w:val="000000"/>
                <w:sz w:val="17"/>
              </w:rPr>
              <w:t>Assessment</w:t>
            </w:r>
          </w:p>
        </w:tc>
        <w:tc>
          <w:tcPr>
            <w:tcW w:type="dxa" w:w="1238"/>
            <w:tcMar>
              <w:top w:w="80" w:type="dxa"/>
              <w:start w:w="120" w:type="dxa"/>
              <w:bottom w:w="80" w:type="dxa"/>
              <w:end w:w="120" w:type="dxa"/>
            </w:tcMar>
            <w:vAlign w:val="center"/>
            <w:shd w:fill="EDEDED"/>
          </w:tcPr>
          <w:p>
            <w:pPr>
              <w:spacing w:before="0" w:after="0" w:line="252" w:lineRule="auto"/>
            </w:pPr>
            <w:r>
              <w:rPr>
                <w:rFonts w:ascii="Times New Roman" w:hAnsi="Times New Roman" w:eastAsia="Times New Roman"/>
                <w:b/>
                <w:color w:val="000000"/>
                <w:sz w:val="17"/>
              </w:rPr>
              <w:t>Baseline</w:t>
            </w:r>
          </w:p>
        </w:tc>
        <w:tc>
          <w:tcPr>
            <w:tcW w:type="dxa" w:w="1238"/>
            <w:tcMar>
              <w:top w:w="80" w:type="dxa"/>
              <w:start w:w="120" w:type="dxa"/>
              <w:bottom w:w="80" w:type="dxa"/>
              <w:end w:w="120" w:type="dxa"/>
            </w:tcMar>
            <w:vAlign w:val="center"/>
            <w:shd w:fill="EDEDED"/>
          </w:tcPr>
          <w:p>
            <w:pPr>
              <w:spacing w:before="0" w:after="0" w:line="252" w:lineRule="auto"/>
            </w:pPr>
            <w:r>
              <w:rPr>
                <w:rFonts w:ascii="Times New Roman" w:hAnsi="Times New Roman" w:eastAsia="Times New Roman"/>
                <w:b/>
                <w:color w:val="000000"/>
                <w:sz w:val="17"/>
              </w:rPr>
              <w:t>Every 6 months</w:t>
            </w:r>
          </w:p>
        </w:tc>
        <w:tc>
          <w:tcPr>
            <w:tcW w:type="dxa" w:w="1238"/>
            <w:tcMar>
              <w:top w:w="80" w:type="dxa"/>
              <w:start w:w="120" w:type="dxa"/>
              <w:bottom w:w="80" w:type="dxa"/>
              <w:end w:w="120" w:type="dxa"/>
            </w:tcMar>
            <w:vAlign w:val="center"/>
            <w:shd w:fill="EDEDED"/>
          </w:tcPr>
          <w:p>
            <w:pPr>
              <w:spacing w:before="0" w:after="0" w:line="252" w:lineRule="auto"/>
            </w:pPr>
            <w:r>
              <w:rPr>
                <w:rFonts w:ascii="Times New Roman" w:hAnsi="Times New Roman" w:eastAsia="Times New Roman"/>
                <w:b/>
                <w:color w:val="000000"/>
                <w:sz w:val="17"/>
              </w:rPr>
              <w:t>Every 12 months</w:t>
            </w:r>
          </w:p>
        </w:tc>
        <w:tc>
          <w:tcPr>
            <w:tcW w:type="dxa" w:w="1238"/>
            <w:tcMar>
              <w:top w:w="80" w:type="dxa"/>
              <w:start w:w="120" w:type="dxa"/>
              <w:bottom w:w="80" w:type="dxa"/>
              <w:end w:w="120" w:type="dxa"/>
            </w:tcMar>
            <w:vAlign w:val="center"/>
            <w:shd w:fill="EDEDED"/>
          </w:tcPr>
          <w:p>
            <w:pPr>
              <w:spacing w:before="0" w:after="0" w:line="252" w:lineRule="auto"/>
            </w:pPr>
            <w:r>
              <w:rPr>
                <w:rFonts w:ascii="Times New Roman" w:hAnsi="Times New Roman" w:eastAsia="Times New Roman"/>
                <w:b/>
                <w:color w:val="000000"/>
                <w:sz w:val="17"/>
              </w:rPr>
              <w:t>Months 24 and 60</w:t>
            </w:r>
          </w:p>
        </w:tc>
        <w:tc>
          <w:tcPr>
            <w:tcW w:type="dxa" w:w="1238"/>
            <w:tcMar>
              <w:top w:w="80" w:type="dxa"/>
              <w:start w:w="120" w:type="dxa"/>
              <w:bottom w:w="80" w:type="dxa"/>
              <w:end w:w="120" w:type="dxa"/>
            </w:tcMar>
            <w:vAlign w:val="center"/>
            <w:shd w:fill="EDEDED"/>
          </w:tcPr>
          <w:p>
            <w:pPr>
              <w:spacing w:before="0" w:after="0" w:line="252" w:lineRule="auto"/>
            </w:pPr>
            <w:r>
              <w:rPr>
                <w:rFonts w:ascii="Times New Roman" w:hAnsi="Times New Roman" w:eastAsia="Times New Roman"/>
                <w:b/>
                <w:color w:val="000000"/>
                <w:sz w:val="17"/>
              </w:rPr>
              <w:t>Quarterly remote</w:t>
            </w:r>
          </w:p>
        </w:tc>
      </w:tr>
      <w:tr>
        <w:trPr>
          <w:cantSplit w:val="true"/>
        </w:trPr>
        <w:tc>
          <w:tcPr>
            <w:tcW w:type="dxa" w:w="316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Consent, eligibility, central genotype review</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p>
        </w:tc>
        <w:tc>
          <w:tcPr>
            <w:tcW w:type="dxa" w:w="1238"/>
            <w:tcMar>
              <w:top w:w="80" w:type="dxa"/>
              <w:start w:w="120" w:type="dxa"/>
              <w:bottom w:w="80" w:type="dxa"/>
              <w:end w:w="120" w:type="dxa"/>
            </w:tcMar>
            <w:vAlign w:val="center"/>
          </w:tcPr>
          <w:p>
            <w:pPr>
              <w:spacing w:before="0" w:after="0" w:line="252" w:lineRule="auto"/>
            </w:pPr>
          </w:p>
        </w:tc>
        <w:tc>
          <w:tcPr>
            <w:tcW w:type="dxa" w:w="1238"/>
            <w:tcMar>
              <w:top w:w="80" w:type="dxa"/>
              <w:start w:w="120" w:type="dxa"/>
              <w:bottom w:w="80" w:type="dxa"/>
              <w:end w:w="120" w:type="dxa"/>
            </w:tcMar>
            <w:vAlign w:val="center"/>
          </w:tcPr>
          <w:p>
            <w:pPr>
              <w:spacing w:before="0" w:after="0" w:line="252" w:lineRule="auto"/>
            </w:pPr>
          </w:p>
        </w:tc>
        <w:tc>
          <w:tcPr>
            <w:tcW w:type="dxa" w:w="1238"/>
            <w:tcMar>
              <w:top w:w="80" w:type="dxa"/>
              <w:start w:w="120" w:type="dxa"/>
              <w:bottom w:w="80" w:type="dxa"/>
              <w:end w:w="120" w:type="dxa"/>
            </w:tcMar>
            <w:vAlign w:val="center"/>
          </w:tcPr>
          <w:p>
            <w:pPr>
              <w:spacing w:before="0" w:after="0" w:line="252" w:lineRule="auto"/>
            </w:pPr>
          </w:p>
        </w:tc>
      </w:tr>
      <w:tr>
        <w:trPr>
          <w:cantSplit w:val="true"/>
        </w:trPr>
        <w:tc>
          <w:tcPr>
            <w:tcW w:type="dxa" w:w="316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Full residential, occupational, water, and migration history</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brief update</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full update</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full update</w:t>
            </w:r>
          </w:p>
        </w:tc>
        <w:tc>
          <w:tcPr>
            <w:tcW w:type="dxa" w:w="1238"/>
            <w:tcMar>
              <w:top w:w="80" w:type="dxa"/>
              <w:start w:w="120" w:type="dxa"/>
              <w:bottom w:w="80" w:type="dxa"/>
              <w:end w:w="120" w:type="dxa"/>
            </w:tcMar>
            <w:vAlign w:val="center"/>
          </w:tcPr>
          <w:p>
            <w:pPr>
              <w:spacing w:before="0" w:after="0" w:line="252" w:lineRule="auto"/>
            </w:pPr>
          </w:p>
        </w:tc>
      </w:tr>
      <w:tr>
        <w:trPr>
          <w:cantSplit w:val="true"/>
        </w:trPr>
        <w:tc>
          <w:tcPr>
            <w:tcW w:type="dxa" w:w="316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SARA/f-SARA, INAS, SCAFI, event assessment</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p>
        </w:tc>
      </w:tr>
      <w:tr>
        <w:trPr>
          <w:cantSplit w:val="true"/>
        </w:trPr>
        <w:tc>
          <w:tcPr>
            <w:tcW w:type="dxa" w:w="316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FARS-ADL, PROM-Ataxia, PGI-C, EQ-5D-5L</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p>
        </w:tc>
      </w:tr>
      <w:tr>
        <w:trPr>
          <w:cantSplit w:val="true"/>
        </w:trPr>
        <w:tc>
          <w:tcPr>
            <w:tcW w:type="dxa" w:w="316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Plasma NfL and clinical covariates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p>
        </w:tc>
      </w:tr>
      <w:tr>
        <w:trPr>
          <w:cantSplit w:val="true"/>
        </w:trPr>
        <w:tc>
          <w:tcPr>
            <w:tcW w:type="dxa" w:w="316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Laboratory gait, balance, and eye movements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p>
        </w:tc>
      </w:tr>
      <w:tr>
        <w:trPr>
          <w:cantSplit w:val="true"/>
        </w:trPr>
        <w:tc>
          <w:tcPr>
            <w:tcW w:type="dxa" w:w="316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Structural and diffusion MRI</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p>
        </w:tc>
      </w:tr>
      <w:tr>
        <w:trPr>
          <w:cantSplit w:val="true"/>
        </w:trPr>
        <w:tc>
          <w:tcPr>
            <w:tcW w:type="dxa" w:w="316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Minimum harmonized MRS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optional annual</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p>
        </w:tc>
      </w:tr>
      <w:tr>
        <w:trPr>
          <w:cantSplit w:val="true"/>
        </w:trPr>
        <w:tc>
          <w:tcPr>
            <w:tcW w:type="dxa" w:w="316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Biobank collection</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plasma</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p>
        </w:tc>
      </w:tr>
      <w:tr>
        <w:trPr>
          <w:cantSplit w:val="true"/>
        </w:trPr>
        <w:tc>
          <w:tcPr>
            <w:tcW w:type="dxa" w:w="316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Seven-day wearable and brief exposure diary</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r>
      <w:tr>
        <w:trPr>
          <w:cantSplit w:val="true"/>
        </w:trPr>
        <w:tc>
          <w:tcPr>
            <w:tcW w:type="dxa" w:w="316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Concomitant therapy, rehabilitation, falls, adverse events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c>
          <w:tcPr>
            <w:tcW w:type="dxa" w:w="1238"/>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Yes</w:t>
            </w:r>
          </w:p>
        </w:tc>
      </w:tr>
    </w:tbl>
    <w:p>
      <w:pPr>
        <w:spacing w:after="40"/>
      </w:pPr>
    </w:p>
    <w:p>
      <w:pPr>
        <w:pStyle w:val="Heading2"/>
      </w:pPr>
      <w:r>
        <w:rPr>
          <w:rFonts w:ascii="Times New Roman" w:hAnsi="Times New Roman" w:eastAsia="Times New Roman"/>
          <w:b/>
          <w:color w:val="000000"/>
          <w:sz w:val="22"/>
        </w:rPr>
        <w:t>8. Measurement and data-quality safeguards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Raters complete central certification and periodic drift exercises. Candidate conversion videos undergo central adjudication.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 xml:space="preserve">Outcome raters, laboratory staff, image analysts, and adjudicators are blinded to </w:t>
      </w:r>
      <m:oMath>
        <m:r>
          <m:rPr>
            <m:nor/>
          </m:rPr>
          <m:t>E</m:t>
        </m:r>
        <m:r>
          <m:rPr>
            <m:nor/>
          </m:rPr>
          <m:t>*</m:t>
        </m:r>
      </m:oMath>
      <w:r>
        <w:rPr>
          <w:rFonts w:ascii="Times New Roman" w:hAnsi="Times New Roman" w:eastAsia="Times New Roman"/>
          <w:b w:val="0"/>
          <w:color w:val="000000"/>
          <w:sz w:val="20"/>
        </w:rPr>
        <w:t xml:space="preserve"> and </w:t>
      </w:r>
      <m:oMath>
        <m:r>
          <m:rPr>
            <m:nor/>
          </m:rPr>
          <m:t>S</m:t>
        </m:r>
        <m:r>
          <m:rPr>
            <m:nor/>
          </m:rPr>
          <m:t>*</m:t>
        </m:r>
      </m:oMath>
      <w:r>
        <w:rPr>
          <w:rFonts w:ascii="Times New Roman" w:hAnsi="Times New Roman" w:eastAsia="Times New Roman"/>
          <w:b w:val="0"/>
          <w:color w:val="000000"/>
          <w:sz w:val="20"/>
        </w:rPr>
        <w: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Laboratories use pooled bridge controls across reagent lots; MRI sites use common sequences, phantoms, upgrade logs, and central quality control.</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The data system preserves raw values, derived values, derivation-code version, time stamps, and reasons for exclusions or missingness.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Family identifiers, site, ancestry principal components, expanded and normal repeat length, birth cohort, sex, education, socioeconomic position, smoking, alcohol, physical activity, diet, occupation, head injury, renal function, medication, and rehabilitation are collected. Adjustment follows a frozen causal diagram rather than automatic inclusion of every variable.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Residential histories are obtained before detailed discussion of the proposed exposure curve where possible, reducing differential recall.</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Entry into an interventional trial is recorded as a time-varying intercurrent event. Participants are retained for observational follow-up when allowed.</w:t>
      </w:r>
    </w:p>
    <w:p>
      <w:pPr>
        <w:pStyle w:val="Heading2"/>
      </w:pPr>
      <w:r>
        <w:rPr>
          <w:rFonts w:ascii="Times New Roman" w:hAnsi="Times New Roman" w:eastAsia="Times New Roman"/>
          <w:b/>
          <w:color w:val="000000"/>
          <w:sz w:val="22"/>
        </w:rPr>
        <w:t>9. Sample size and event-driven extension</w:t>
      </w:r>
    </w:p>
    <w:p>
      <w:pPr>
        <w:keepLines w:val="0"/>
        <w:jc w:val="both"/>
      </w:pPr>
      <w:r>
        <w:rPr>
          <w:rFonts w:ascii="Times New Roman" w:hAnsi="Times New Roman" w:eastAsia="Times New Roman"/>
          <w:b w:val="0"/>
          <w:color w:val="000000"/>
          <w:sz w:val="20"/>
        </w:rPr>
        <w:t>The primary cohort target is 800 preataxic carriers, not 800 total participants. Under an illustrative conservative five-year conversion risk of 25% in 500 SCA3 carriers and 10% in 300 SCA6 carriers, with 85% retention, the expected number of primary events is:</w:t>
      </w:r>
    </w:p>
    <w:p>
      <w:pPr>
        <w:keepLines/>
        <w:spacing w:before="80" w:after="120"/>
        <w:jc w:val="center"/>
      </w:pPr>
      <m:oMath>
        <m:r>
          <m:rPr>
            <m:nor/>
          </m:rPr>
          <m:t>0</m:t>
        </m:r>
        <m:r>
          <m:rPr>
            <m:nor/>
          </m:rPr>
          <m:t>.</m:t>
        </m:r>
        <m:r>
          <m:rPr>
            <m:nor/>
          </m:rPr>
          <m:t>85</m:t>
        </m:r>
        <m:r>
          <m:rPr>
            <m:nor/>
          </m:rPr>
          <m:t>{</m:t>
        </m:r>
        <m:r>
          <m:rPr>
            <m:nor/>
          </m:rPr>
          <m:t>500</m:t>
        </m:r>
        <m:r>
          <m:rPr>
            <m:nor/>
          </m:rPr>
          <m:t>(</m:t>
        </m:r>
        <m:r>
          <m:rPr>
            <m:nor/>
          </m:rPr>
          <m:t>0</m:t>
        </m:r>
        <m:r>
          <m:rPr>
            <m:nor/>
          </m:rPr>
          <m:t>.</m:t>
        </m:r>
        <m:r>
          <m:rPr>
            <m:nor/>
          </m:rPr>
          <m:t>25</m:t>
        </m:r>
        <m:r>
          <m:rPr>
            <m:nor/>
          </m:rPr>
          <m:t>)</m:t>
        </m:r>
        <m:r>
          <m:rPr>
            <m:nor/>
          </m:rPr>
          <m:t>+</m:t>
        </m:r>
        <m:r>
          <m:rPr>
            <m:nor/>
          </m:rPr>
          <m:t>300</m:t>
        </m:r>
        <m:r>
          <m:rPr>
            <m:nor/>
          </m:rPr>
          <m:t>(</m:t>
        </m:r>
        <m:r>
          <m:rPr>
            <m:nor/>
          </m:rPr>
          <m:t>0</m:t>
        </m:r>
        <m:r>
          <m:rPr>
            <m:nor/>
          </m:rPr>
          <m:t>.</m:t>
        </m:r>
        <m:r>
          <m:rPr>
            <m:nor/>
          </m:rPr>
          <m:t>10</m:t>
        </m:r>
        <m:r>
          <m:rPr>
            <m:nor/>
          </m:rPr>
          <m:t>)</m:t>
        </m:r>
        <m:r>
          <m:rPr>
            <m:nor/>
          </m:rPr>
          <m:t>}</m:t>
        </m:r>
        <m:r>
          <m:rPr>
            <m:nor/>
          </m:rPr>
          <m:t>=</m:t>
        </m:r>
        <m:r>
          <m:rPr>
            <m:nor/>
          </m:rPr>
          <m:t>131</m:t>
        </m:r>
        <m:r>
          <m:rPr>
            <m:nor/>
          </m:rPr>
          <m:t>.</m:t>
        </m:r>
        <m:r>
          <m:rPr>
            <m:nor/>
          </m:rPr>
          <m:t>75</m:t>
        </m:r>
        <m:r>
          <m:rPr>
            <m:nor/>
          </m:rPr>
          <m:t>.</m:t>
        </m:r>
      </m:oMath>
    </w:p>
    <w:p>
      <w:pPr>
        <w:keepLines w:val="0"/>
        <w:jc w:val="both"/>
      </w:pPr>
      <w:r>
        <w:rPr>
          <w:rFonts w:ascii="Times New Roman" w:hAnsi="Times New Roman" w:eastAsia="Times New Roman"/>
          <w:b w:val="0"/>
          <w:color w:val="000000"/>
          <w:sz w:val="20"/>
        </w:rPr>
        <w:t>Approximately 108 events are required for 90% power to detect a hazard ratio of 1.5 per standard-deviation exposure at two-sided alpha 0.025 when covariates explain 30% of exposure variance. This calculation is adequate only for a relatively simple main association. It may support an SCA3-led estimate if exposure support is favourable, but it does not establish power for a multi-degree-of-freedom hump or H2.</w:t>
      </w:r>
    </w:p>
    <w:p>
      <w:pPr>
        <w:keepLines w:val="0"/>
        <w:jc w:val="both"/>
      </w:pPr>
      <w:r>
        <w:rPr>
          <w:rFonts w:ascii="Times New Roman" w:hAnsi="Times New Roman" w:eastAsia="Times New Roman"/>
          <w:b w:val="0"/>
          <w:color w:val="000000"/>
          <w:sz w:val="20"/>
        </w:rPr>
        <w:t>For a strong genotype interaction equivalent to an interaction hazard-ratio ratio of 1.7, an optimistic one-parameter approximation gives about 206 events for 80% power and 269 for 90% power under the same alpha and covariate assumptions. The registered H2 is a three-degree-of-freedom curve interaction and requires simulation; these counts are not its power guarantee. Thus an 800-carrier cohort is expected to have limited power for H2. A scenario with 750 preataxic SCA3 and 450 preataxic SCA6 carriers, 35% and 15% five-year conversion, and 85% retention yields about 281 events, but recruitment feasibility and three-degree-of-freedom power remain uncertain. Recruitment proportions never define biological or target-population weights.</w:t>
      </w:r>
    </w:p>
    <w:p>
      <w:pPr>
        <w:keepLines w:val="0"/>
        <w:jc w:val="both"/>
      </w:pPr>
      <w:r>
        <w:rPr>
          <w:rFonts w:ascii="Times New Roman" w:hAnsi="Times New Roman" w:eastAsia="Times New Roman"/>
          <w:b w:val="0"/>
          <w:color w:val="000000"/>
          <w:sz w:val="20"/>
        </w:rPr>
        <w:t>At months 36 and 48, an independent committee may use only blinded aggregate recruitment, retention, exposure-support, and event counts to recommend extension to month 84 or additional sites. It may not inspect exposure-effect estimates. If the final event count cannot support H2, H2 is reported with uncertainty and cannot be presented as a definitive negative interaction test.</w:t>
      </w:r>
    </w:p>
    <w:p>
      <w:pPr>
        <w:pStyle w:val="Heading2"/>
      </w:pPr>
      <w:r>
        <w:rPr>
          <w:rFonts w:ascii="Times New Roman" w:hAnsi="Times New Roman" w:eastAsia="Times New Roman"/>
          <w:b/>
          <w:color w:val="000000"/>
          <w:sz w:val="22"/>
        </w:rPr>
        <w:t>10. Analysis overview</w:t>
      </w:r>
    </w:p>
    <w:p>
      <w:pPr>
        <w:keepLines w:val="0"/>
        <w:jc w:val="both"/>
      </w:pPr>
      <w:r>
        <w:rPr>
          <w:rFonts w:ascii="Times New Roman" w:hAnsi="Times New Roman" w:eastAsia="Times New Roman"/>
          <w:b w:val="0"/>
          <w:color w:val="000000"/>
          <w:sz w:val="20"/>
        </w:rPr>
        <w:t xml:space="preserve">The confirmatory model uses age as the time scale, delayed entry at enrollment, interval-censored event times, genotype-specific baseline hazards, the frozen restricted cubic spline for </w:t>
      </w:r>
      <m:oMath>
        <m:r>
          <m:rPr>
            <m:nor/>
          </m:rPr>
          <m:t>S</m:t>
        </m:r>
        <m:r>
          <m:rPr>
            <m:nor/>
          </m:rPr>
          <m:t>*</m:t>
        </m:r>
      </m:oMath>
      <w:r>
        <w:rPr>
          <w:rFonts w:ascii="Times New Roman" w:hAnsi="Times New Roman" w:eastAsia="Times New Roman"/>
          <w:b w:val="0"/>
          <w:color w:val="000000"/>
          <w:sz w:val="20"/>
        </w:rPr>
        <w:t xml:space="preserve">, and family/site clustering. Death is addressed as a competing event. Longitudinal outcomes use genotype-specific mixed models. Joint and landmark models address temporal biomarker ordering; a latent </w:t>
      </w:r>
      <m:oMath>
        <m:r>
          <m:rPr>
            <m:nor/>
          </m:rPr>
          <m:t>L</m:t>
        </m:r>
        <m:r>
          <m:rPr>
            <m:nor/>
          </m:rPr>
          <m:t>(</m:t>
        </m:r>
        <m:r>
          <m:rPr>
            <m:nor/>
          </m:rPr>
          <m:t>t</m:t>
        </m:r>
        <m:r>
          <m:rPr>
            <m:nor/>
          </m:rPr>
          <m:t>)</m:t>
        </m:r>
      </m:oMath>
      <w:r>
        <w:rPr>
          <w:rFonts w:ascii="Times New Roman" w:hAnsi="Times New Roman" w:eastAsia="Times New Roman"/>
          <w:b w:val="0"/>
          <w:color w:val="000000"/>
          <w:sz w:val="20"/>
        </w:rPr>
        <w:t xml:space="preserve"> is developed without SARA and externally assessed. Missingness, measurement error, multiplicity, and sensitivity analyses are fully specified in the statistical analysis plan.</w:t>
      </w:r>
    </w:p>
    <w:p>
      <w:pPr>
        <w:keepLines w:val="0"/>
        <w:jc w:val="both"/>
      </w:pPr>
      <w:r>
        <w:rPr>
          <w:rFonts w:ascii="Times New Roman" w:hAnsi="Times New Roman" w:eastAsia="Times New Roman"/>
          <w:b w:val="0"/>
          <w:color w:val="000000"/>
          <w:sz w:val="20"/>
        </w:rPr>
        <w:t>Residual age at onset may be plotted descriptively, but it is not a confirmatory outcome. Analyses restricted to observed converters are not substituted for the full risk-set model.</w:t>
      </w:r>
    </w:p>
    <w:p>
      <w:pPr>
        <w:pStyle w:val="Heading2"/>
      </w:pPr>
      <w:r>
        <w:rPr>
          <w:rFonts w:ascii="Times New Roman" w:hAnsi="Times New Roman" w:eastAsia="Times New Roman"/>
          <w:b/>
          <w:color w:val="000000"/>
          <w:sz w:val="22"/>
        </w:rPr>
        <w:t>11. Go/no-go and interpretation rules</w:t>
      </w:r>
    </w:p>
    <w:p>
      <w:pPr>
        <w:pStyle w:val="Heading3"/>
      </w:pPr>
      <w:r>
        <w:rPr>
          <w:rFonts w:ascii="Times New Roman" w:hAnsi="Times New Roman" w:eastAsia="Times New Roman"/>
          <w:b/>
          <w:color w:val="000000"/>
          <w:sz w:val="20"/>
        </w:rPr>
        <w:t>11.1 Operational gate</w:t>
      </w:r>
    </w:p>
    <w:p>
      <w:pPr>
        <w:keepLines w:val="0"/>
        <w:jc w:val="both"/>
      </w:pPr>
      <w:r>
        <w:rPr>
          <w:rFonts w:ascii="Times New Roman" w:hAnsi="Times New Roman" w:eastAsia="Times New Roman"/>
          <w:b w:val="0"/>
          <w:color w:val="000000"/>
          <w:sz w:val="20"/>
        </w:rPr>
        <w:t xml:space="preserve">The confirmatory environmental analysis is </w:t>
      </w:r>
      <w:r>
        <w:rPr>
          <w:rFonts w:ascii="Times New Roman" w:hAnsi="Times New Roman" w:eastAsia="Times New Roman"/>
          <w:b/>
          <w:color w:val="000000"/>
          <w:sz w:val="20"/>
        </w:rPr>
        <w:t>no-go</w:t>
      </w:r>
      <w:r>
        <w:rPr>
          <w:rFonts w:ascii="Times New Roman" w:hAnsi="Times New Roman" w:eastAsia="Times New Roman"/>
          <w:b w:val="0"/>
          <w:color w:val="000000"/>
          <w:sz w:val="20"/>
        </w:rPr>
        <w:t xml:space="preserve"> if the exposure-quality gate fails, if the middle or high exposure support is insufficient, or if outcome ascertainment cannot maintain blinded adjudication. Natural-history follow-up continues.</w:t>
      </w:r>
    </w:p>
    <w:p>
      <w:pPr>
        <w:pStyle w:val="Heading3"/>
      </w:pPr>
      <w:r>
        <w:rPr>
          <w:rFonts w:ascii="Times New Roman" w:hAnsi="Times New Roman" w:eastAsia="Times New Roman"/>
          <w:b/>
          <w:color w:val="000000"/>
          <w:sz w:val="20"/>
        </w:rPr>
        <w:t>11.2 Statistical gate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Full statistical go for the non-linear environment model:</w:t>
      </w:r>
      <w:r>
        <w:rPr>
          <w:rFonts w:ascii="Times New Roman" w:hAnsi="Times New Roman" w:eastAsia="Times New Roman"/>
          <w:b w:val="0"/>
          <w:color w:val="000000"/>
          <w:sz w:val="20"/>
        </w:rPr>
        <w:t xml:space="preserve"> H1 survives Holm correction with the prespecified direction and supported exposure range; H2 is directionally interpretable and survives its Holm threshold; the curve transports to an external cohort without moving the risk region post hoc. This is not a gate/leak finding.</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Partial support:</w:t>
      </w:r>
      <w:r>
        <w:rPr>
          <w:rFonts w:ascii="Times New Roman" w:hAnsi="Times New Roman" w:eastAsia="Times New Roman"/>
          <w:b w:val="0"/>
          <w:color w:val="000000"/>
          <w:sz w:val="20"/>
        </w:rPr>
        <w:t xml:space="preserve"> H1 is supported but H2 is imprecise because the event target is not reached. The result supports a candidate non-monotonic association, not the full genotype-coupled model.</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Candidate-specific no-go:</w:t>
      </w:r>
      <w:r>
        <w:rPr>
          <w:rFonts w:ascii="Times New Roman" w:hAnsi="Times New Roman" w:eastAsia="Times New Roman"/>
          <w:b w:val="0"/>
          <w:color w:val="000000"/>
          <w:sz w:val="20"/>
        </w:rPr>
        <w:t xml:space="preserve"> H1 is not supported and its confidence interval excludes the prespecified minimally relevant intermediate excess, or the external cohort fails to reproduce the shape. This rejects the registered </w:t>
      </w:r>
      <m:oMath>
        <m:r>
          <m:rPr>
            <m:nor/>
          </m:rPr>
          <m:t>E</m:t>
        </m:r>
        <m:r>
          <m:rPr>
            <m:nor/>
          </m:rPr>
          <m:t>*</m:t>
        </m:r>
        <m:r>
          <m:rPr>
            <m:nor/>
          </m:rPr>
          <m:t>/</m:t>
        </m:r>
        <m:r>
          <m:rPr>
            <m:nor/>
          </m:rPr>
          <m:t>S</m:t>
        </m:r>
        <m:r>
          <m:rPr>
            <m:nor/>
          </m:rPr>
          <m:t>*</m:t>
        </m:r>
      </m:oMath>
      <w:r>
        <w:rPr>
          <w:rFonts w:ascii="Times New Roman" w:hAnsi="Times New Roman" w:eastAsia="Times New Roman"/>
          <w:b w:val="0"/>
          <w:color w:val="000000"/>
          <w:sz w:val="20"/>
        </w:rPr>
        <w:t xml:space="preserve"> implementation in the measured range; it does not identify or exclude every possible </w:t>
      </w:r>
      <m:oMath>
        <m:r>
          <m:rPr>
            <m:nor/>
          </m:rPr>
          <m:t>X</m:t>
        </m:r>
      </m:oMath>
      <w:r>
        <w:rPr>
          <w:rFonts w:ascii="Times New Roman" w:hAnsi="Times New Roman" w:eastAsia="Times New Roman"/>
          <w:b w:val="0"/>
          <w:color w:val="000000"/>
          <w:sz w:val="20"/>
        </w:rPr>
        <w: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Indeterminate:</w:t>
      </w:r>
      <w:r>
        <w:rPr>
          <w:rFonts w:ascii="Times New Roman" w:hAnsi="Times New Roman" w:eastAsia="Times New Roman"/>
          <w:b w:val="0"/>
          <w:color w:val="000000"/>
          <w:sz w:val="20"/>
        </w:rPr>
        <w:t xml:space="preserve"> confidence intervals remain compatible with both no effect and the minimally relevant effect. This is reported as underpowered, not as confirmation or falsification.</w:t>
      </w:r>
    </w:p>
    <w:p>
      <w:pPr>
        <w:keepLines w:val="0"/>
        <w:jc w:val="both"/>
      </w:pPr>
      <w:r>
        <w:rPr>
          <w:rFonts w:ascii="Times New Roman" w:hAnsi="Times New Roman" w:eastAsia="Times New Roman"/>
          <w:b w:val="0"/>
          <w:color w:val="000000"/>
          <w:sz w:val="20"/>
        </w:rPr>
        <w:t xml:space="preserve">No H1/H2 outcome, including a transported hump and interaction, establishes </w:t>
      </w:r>
      <m:oMath>
        <m:r>
          <m:rPr>
            <m:nor/>
          </m:rPr>
          <m:t>P</m:t>
        </m:r>
      </m:oMath>
      <w:r>
        <w:rPr>
          <w:rFonts w:ascii="Times New Roman" w:hAnsi="Times New Roman" w:eastAsia="Times New Roman"/>
          <w:b w:val="0"/>
          <w:color w:val="000000"/>
          <w:sz w:val="20"/>
        </w:rPr>
        <w:t xml:space="preserve">, </w:t>
      </w:r>
      <m:oMath>
        <m:r>
          <m:rPr>
            <m:nor/>
          </m:rPr>
          <m:t>B</m:t>
        </m:r>
      </m:oMath>
      <w:r>
        <w:rPr>
          <w:rFonts w:ascii="Times New Roman" w:hAnsi="Times New Roman" w:eastAsia="Times New Roman"/>
          <w:b w:val="0"/>
          <w:color w:val="000000"/>
          <w:sz w:val="20"/>
        </w:rPr>
        <w:t>, uptake, or leakage. A future mechanistic claim requires independent activation, uptake/exchange, and reserve/depletion measurements with the prespecified temporal sequence, followed by selective perturbation and mediation tests.</w:t>
      </w:r>
    </w:p>
    <w:p>
      <w:pPr>
        <w:pStyle w:val="Heading3"/>
      </w:pPr>
      <w:r>
        <w:rPr>
          <w:rFonts w:ascii="Times New Roman" w:hAnsi="Times New Roman" w:eastAsia="Times New Roman"/>
          <w:b/>
          <w:color w:val="000000"/>
          <w:sz w:val="20"/>
        </w:rPr>
        <w:t>11.3 Biomarker-state gate</w:t>
      </w:r>
    </w:p>
    <w:p>
      <w:pPr>
        <w:keepLines w:val="0"/>
        <w:jc w:val="both"/>
      </w:pPr>
      <w:r>
        <w:rPr>
          <w:rFonts w:ascii="Times New Roman" w:hAnsi="Times New Roman" w:eastAsia="Times New Roman"/>
          <w:b w:val="0"/>
          <w:color w:val="000000"/>
          <w:sz w:val="20"/>
        </w:rPr>
        <w:t xml:space="preserve">The proposed common </w:t>
      </w:r>
      <m:oMath>
        <m:r>
          <m:rPr>
            <m:nor/>
          </m:rPr>
          <m:t>L</m:t>
        </m:r>
        <m:r>
          <m:rPr>
            <m:nor/>
          </m:rPr>
          <m:t>(</m:t>
        </m:r>
        <m:r>
          <m:rPr>
            <m:nor/>
          </m:rPr>
          <m:t>t</m:t>
        </m:r>
        <m:r>
          <m:rPr>
            <m:nor/>
          </m:rPr>
          <m:t>)</m:t>
        </m:r>
      </m:oMath>
      <w:r>
        <w:rPr>
          <w:rFonts w:ascii="Times New Roman" w:hAnsi="Times New Roman" w:eastAsia="Times New Roman"/>
          <w:b w:val="0"/>
          <w:color w:val="000000"/>
          <w:sz w:val="20"/>
        </w:rPr>
        <w:t xml:space="preserve"> is not retained if a frozen one-factor measurement model lacks longitudinal or genotype measurement invariance, or if it fails external calibration and prediction. Genotype-specific factors may be reported, but cannot be relabelled as the originally proposed common state.</w:t>
      </w:r>
    </w:p>
    <w:p>
      <w:pPr>
        <w:pStyle w:val="Heading3"/>
      </w:pPr>
      <w:r>
        <w:rPr>
          <w:rFonts w:ascii="Times New Roman" w:hAnsi="Times New Roman" w:eastAsia="Times New Roman"/>
          <w:b/>
          <w:color w:val="000000"/>
          <w:sz w:val="20"/>
        </w:rPr>
        <w:t>11.4 Trial handoff</w:t>
      </w:r>
    </w:p>
    <w:p>
      <w:pPr>
        <w:keepLines w:val="0"/>
        <w:jc w:val="both"/>
      </w:pPr>
      <w:r>
        <w:rPr>
          <w:rFonts w:ascii="Times New Roman" w:hAnsi="Times New Roman" w:eastAsia="Times New Roman"/>
          <w:b w:val="0"/>
          <w:color w:val="000000"/>
          <w:sz w:val="20"/>
        </w:rPr>
        <w:t>No cohort result alone authorizes an early-intervention trial. A trial module additionally requires a human-safe, known biological target; reproducible evidence that the selected abnormal state precedes degeneration; a directionally interpretable modulation method; and independent ethics and regulatory review.</w:t>
      </w:r>
    </w:p>
    <w:p>
      <w:pPr>
        <w:pStyle w:val="Heading2"/>
      </w:pPr>
      <w:r>
        <w:rPr>
          <w:rFonts w:ascii="Times New Roman" w:hAnsi="Times New Roman" w:eastAsia="Times New Roman"/>
          <w:b/>
          <w:color w:val="000000"/>
          <w:sz w:val="22"/>
        </w:rPr>
        <w:t>12. Ethics, privacy, and dissemination</w:t>
      </w:r>
    </w:p>
    <w:p>
      <w:pPr>
        <w:keepLines w:val="0"/>
        <w:jc w:val="both"/>
      </w:pPr>
      <w:r>
        <w:rPr>
          <w:rFonts w:ascii="Times New Roman" w:hAnsi="Times New Roman" w:eastAsia="Times New Roman"/>
          <w:b w:val="0"/>
          <w:color w:val="000000"/>
          <w:sz w:val="20"/>
        </w:rPr>
        <w:t>The protocol requires local ethics approval, informed consent, genetic counselling pathways, incidental-MRI procedures, and a plan for clinically actionable findings. Exact residential coordinates, family structure, and genetic data are high-risk identifiers and will not be released publicly. Public data products will use controlled-access individual data or disclosure-safe aggregates.</w:t>
      </w:r>
    </w:p>
    <w:p>
      <w:pPr>
        <w:keepLines w:val="0"/>
        <w:jc w:val="both"/>
      </w:pPr>
      <w:r>
        <w:rPr>
          <w:rFonts w:ascii="Times New Roman" w:hAnsi="Times New Roman" w:eastAsia="Times New Roman"/>
          <w:b w:val="0"/>
          <w:color w:val="000000"/>
          <w:sz w:val="20"/>
        </w:rPr>
        <w:t>The protocol and SAP will be published before confirmatory outcome access. Amendments are dated, justified, and never overwrite the original version. Results will follow the STROBE cohort checklist; any prognostic model will follow TRIPOD+AI. The design also follows the FDA's official discussion of fit-for-purpose rare-disease natural-history studies (FDA draft guidance).</w:t>
      </w:r>
    </w:p>
    <w:p>
      <w:pPr>
        <w:pStyle w:val="Heading2"/>
      </w:pPr>
      <w:r>
        <w:rPr>
          <w:rFonts w:ascii="Times New Roman" w:hAnsi="Times New Roman" w:eastAsia="Times New Roman"/>
          <w:b/>
          <w:color w:val="000000"/>
          <w:sz w:val="22"/>
        </w:rPr>
        <w:t>13. Key sources</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 xml:space="preserve">Jacobi H, et al. Conversion of individuals at risk for spinocerebellar ataxia types 1, 2, 3, and 6 to manifest ataxia. </w:t>
      </w:r>
      <w:r>
        <w:rPr>
          <w:rFonts w:ascii="Times New Roman" w:hAnsi="Times New Roman" w:eastAsia="Times New Roman"/>
          <w:b w:val="0"/>
          <w:i/>
          <w:color w:val="000000"/>
          <w:sz w:val="20"/>
        </w:rPr>
        <w:t>Lancet Neurol.</w:t>
      </w:r>
      <w:r>
        <w:rPr>
          <w:rFonts w:ascii="Times New Roman" w:hAnsi="Times New Roman" w:eastAsia="Times New Roman"/>
          <w:b w:val="0"/>
          <w:color w:val="000000"/>
          <w:sz w:val="20"/>
        </w:rPr>
        <w:t xml:space="preserve"> 2020;19:738–747. doi:10.1016/S1474-4422(20)30235-0.</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 xml:space="preserve">Jacobi H, et al. Long-term disease progression in spinocerebellar ataxia types 1, 2, 3, and 6. </w:t>
      </w:r>
      <w:r>
        <w:rPr>
          <w:rFonts w:ascii="Times New Roman" w:hAnsi="Times New Roman" w:eastAsia="Times New Roman"/>
          <w:b w:val="0"/>
          <w:i/>
          <w:color w:val="000000"/>
          <w:sz w:val="20"/>
        </w:rPr>
        <w:t>Lancet Neurol.</w:t>
      </w:r>
      <w:r>
        <w:rPr>
          <w:rFonts w:ascii="Times New Roman" w:hAnsi="Times New Roman" w:eastAsia="Times New Roman"/>
          <w:b w:val="0"/>
          <w:color w:val="000000"/>
          <w:sz w:val="20"/>
        </w:rPr>
        <w:t xml:space="preserve"> 2015;14:1101–1108. doi:10.1016/S1474-4422(15)00202-1.</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val="0"/>
          <w:color w:val="000000"/>
          <w:sz w:val="20"/>
        </w:rPr>
        <w:t xml:space="preserve">Yasui K, et al. A 3-year cohort study of the natural history of spinocerebellar ataxia type 6 in Japan. </w:t>
      </w:r>
      <w:r>
        <w:rPr>
          <w:rFonts w:ascii="Times New Roman" w:hAnsi="Times New Roman" w:eastAsia="Times New Roman"/>
          <w:b w:val="0"/>
          <w:i/>
          <w:color w:val="000000"/>
          <w:sz w:val="20"/>
        </w:rPr>
        <w:t>Orphanet J Rare Dis.</w:t>
      </w:r>
      <w:r>
        <w:rPr>
          <w:rFonts w:ascii="Times New Roman" w:hAnsi="Times New Roman" w:eastAsia="Times New Roman"/>
          <w:b w:val="0"/>
          <w:color w:val="000000"/>
          <w:sz w:val="20"/>
        </w:rPr>
        <w:t xml:space="preserve"> 2014;9:118. PMC4223818.</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val="0"/>
          <w:color w:val="000000"/>
          <w:sz w:val="20"/>
        </w:rPr>
        <w:t xml:space="preserve">Berger M, et al. Progression of biological markers in spinocerebellar ataxia type 3. </w:t>
      </w:r>
      <w:r>
        <w:rPr>
          <w:rFonts w:ascii="Times New Roman" w:hAnsi="Times New Roman" w:eastAsia="Times New Roman"/>
          <w:b w:val="0"/>
          <w:i/>
          <w:color w:val="000000"/>
          <w:sz w:val="20"/>
        </w:rPr>
        <w:t>Lancet Reg Health Eur.</w:t>
      </w:r>
      <w:r>
        <w:rPr>
          <w:rFonts w:ascii="Times New Roman" w:hAnsi="Times New Roman" w:eastAsia="Times New Roman"/>
          <w:b w:val="0"/>
          <w:color w:val="000000"/>
          <w:sz w:val="20"/>
        </w:rPr>
        <w:t xml:space="preserve"> 2025;55:101339. doi:10.1016/j.lanepe.2025.101339.</w:t>
      </w:r>
    </w:p>
    <w:p>
      <w:pPr>
        <w:spacing w:after="60" w:line="276" w:lineRule="auto"/>
        <w:ind w:left="360" w:hanging="259"/>
      </w:pPr>
      <w:r>
        <w:rPr>
          <w:rFonts w:ascii="Times New Roman" w:hAnsi="Times New Roman" w:eastAsia="Times New Roman"/>
          <w:color w:val="000000"/>
          <w:sz w:val="20"/>
        </w:rPr>
        <w:t xml:space="preserve">5. </w:t>
      </w:r>
      <w:r>
        <w:rPr>
          <w:rFonts w:ascii="Times New Roman" w:hAnsi="Times New Roman" w:eastAsia="Times New Roman"/>
          <w:b w:val="0"/>
          <w:color w:val="000000"/>
          <w:sz w:val="20"/>
        </w:rPr>
        <w:t xml:space="preserve">Petit E, et al. Predictive models for ataxia progression and conversion in spinocerebellar ataxia type 1 and 3. </w:t>
      </w:r>
      <w:r>
        <w:rPr>
          <w:rFonts w:ascii="Times New Roman" w:hAnsi="Times New Roman" w:eastAsia="Times New Roman"/>
          <w:b w:val="0"/>
          <w:i/>
          <w:color w:val="000000"/>
          <w:sz w:val="20"/>
        </w:rPr>
        <w:t>Brain.</w:t>
      </w:r>
      <w:r>
        <w:rPr>
          <w:rFonts w:ascii="Times New Roman" w:hAnsi="Times New Roman" w:eastAsia="Times New Roman"/>
          <w:b w:val="0"/>
          <w:color w:val="000000"/>
          <w:sz w:val="20"/>
        </w:rPr>
        <w:t xml:space="preserve"> 2026;149:1268–1277. PMC12998449.</w:t>
      </w:r>
    </w:p>
    <w:p>
      <w:pPr>
        <w:spacing w:after="60" w:line="276" w:lineRule="auto"/>
        <w:ind w:left="360" w:hanging="259"/>
      </w:pPr>
      <w:r>
        <w:rPr>
          <w:rFonts w:ascii="Times New Roman" w:hAnsi="Times New Roman" w:eastAsia="Times New Roman"/>
          <w:color w:val="000000"/>
          <w:sz w:val="20"/>
        </w:rPr>
        <w:t xml:space="preserve">6. </w:t>
      </w:r>
      <w:r>
        <w:rPr>
          <w:rFonts w:ascii="Times New Roman" w:hAnsi="Times New Roman" w:eastAsia="Times New Roman"/>
          <w:b w:val="0"/>
          <w:color w:val="000000"/>
          <w:sz w:val="20"/>
        </w:rPr>
        <w:t xml:space="preserve">Reetz K, et al. Genotype-specific patterns of atrophy progression are more sensitive than clinical decline in SCA1, SCA3 and SCA6. </w:t>
      </w:r>
      <w:r>
        <w:rPr>
          <w:rFonts w:ascii="Times New Roman" w:hAnsi="Times New Roman" w:eastAsia="Times New Roman"/>
          <w:b w:val="0"/>
          <w:i/>
          <w:color w:val="000000"/>
          <w:sz w:val="20"/>
        </w:rPr>
        <w:t>Brain.</w:t>
      </w:r>
      <w:r>
        <w:rPr>
          <w:rFonts w:ascii="Times New Roman" w:hAnsi="Times New Roman" w:eastAsia="Times New Roman"/>
          <w:b w:val="0"/>
          <w:color w:val="000000"/>
          <w:sz w:val="20"/>
        </w:rPr>
        <w:t xml:space="preserve"> 2013;136:905–917. doi:10.1093/brain/aws369.</w:t>
      </w:r>
    </w:p>
    <w:p>
      <w:pPr>
        <w:spacing w:after="60" w:line="276" w:lineRule="auto"/>
        <w:ind w:left="360" w:hanging="259"/>
      </w:pPr>
      <w:r>
        <w:rPr>
          <w:rFonts w:ascii="Times New Roman" w:hAnsi="Times New Roman" w:eastAsia="Times New Roman"/>
          <w:color w:val="000000"/>
          <w:sz w:val="20"/>
        </w:rPr>
        <w:t xml:space="preserve">7. </w:t>
      </w:r>
      <w:r>
        <w:rPr>
          <w:rFonts w:ascii="Times New Roman" w:hAnsi="Times New Roman" w:eastAsia="Times New Roman"/>
          <w:b w:val="0"/>
          <w:color w:val="000000"/>
          <w:sz w:val="20"/>
        </w:rPr>
        <w:t xml:space="preserve">Ilg W, et al. Digital gait biomarkers allow to capture 1-year longitudinal change in spinocerebellar ataxia type 3. </w:t>
      </w:r>
      <w:r>
        <w:rPr>
          <w:rFonts w:ascii="Times New Roman" w:hAnsi="Times New Roman" w:eastAsia="Times New Roman"/>
          <w:b w:val="0"/>
          <w:i/>
          <w:color w:val="000000"/>
          <w:sz w:val="20"/>
        </w:rPr>
        <w:t>Mov Disord.</w:t>
      </w:r>
      <w:r>
        <w:rPr>
          <w:rFonts w:ascii="Times New Roman" w:hAnsi="Times New Roman" w:eastAsia="Times New Roman"/>
          <w:b w:val="0"/>
          <w:color w:val="000000"/>
          <w:sz w:val="20"/>
        </w:rPr>
        <w:t xml:space="preserve"> 2022;37:2295–2301. doi:10.1002/mds.29206.</w:t>
      </w:r>
    </w:p>
    <w:p>
      <w:pPr>
        <w:spacing w:after="60" w:line="276" w:lineRule="auto"/>
        <w:ind w:left="360" w:hanging="259"/>
      </w:pPr>
      <w:r>
        <w:rPr>
          <w:rFonts w:ascii="Times New Roman" w:hAnsi="Times New Roman" w:eastAsia="Times New Roman"/>
          <w:color w:val="000000"/>
          <w:sz w:val="20"/>
        </w:rPr>
        <w:t xml:space="preserve">8. </w:t>
      </w:r>
      <w:r>
        <w:rPr>
          <w:rFonts w:ascii="Times New Roman" w:hAnsi="Times New Roman" w:eastAsia="Times New Roman"/>
          <w:b w:val="0"/>
          <w:color w:val="000000"/>
          <w:sz w:val="20"/>
        </w:rPr>
        <w:t xml:space="preserve">Joers JM, et al. Neurochemical endpoints to inform early-stage trials of spinocerebellar ataxia 2 and 3 in a multisite setting. </w:t>
      </w:r>
      <w:r>
        <w:rPr>
          <w:rFonts w:ascii="Times New Roman" w:hAnsi="Times New Roman" w:eastAsia="Times New Roman"/>
          <w:b w:val="0"/>
          <w:i/>
          <w:color w:val="000000"/>
          <w:sz w:val="20"/>
        </w:rPr>
        <w:t>Ann Clin Transl Neurol.</w:t>
      </w:r>
      <w:r>
        <w:rPr>
          <w:rFonts w:ascii="Times New Roman" w:hAnsi="Times New Roman" w:eastAsia="Times New Roman"/>
          <w:b w:val="0"/>
          <w:color w:val="000000"/>
          <w:sz w:val="20"/>
        </w:rPr>
        <w:t xml:space="preserve"> 2026. doi:10.1002/acn3.70443.</w:t>
      </w:r>
    </w:p>
    <w:p>
      <w:pPr>
        <w:spacing w:after="60" w:line="276" w:lineRule="auto"/>
        <w:ind w:left="360" w:hanging="259"/>
      </w:pPr>
      <w:r>
        <w:rPr>
          <w:rFonts w:ascii="Times New Roman" w:hAnsi="Times New Roman" w:eastAsia="Times New Roman"/>
          <w:color w:val="000000"/>
          <w:sz w:val="20"/>
        </w:rPr>
        <w:t xml:space="preserve">9. </w:t>
      </w:r>
      <w:r>
        <w:rPr>
          <w:rFonts w:ascii="Times New Roman" w:hAnsi="Times New Roman" w:eastAsia="Times New Roman"/>
          <w:b w:val="0"/>
          <w:color w:val="000000"/>
          <w:sz w:val="20"/>
        </w:rPr>
        <w:t xml:space="preserve">Martins AC, et al. Rural environment as a risk factor for the age at onset of Machado–Joseph disease. </w:t>
      </w:r>
      <w:r>
        <w:rPr>
          <w:rFonts w:ascii="Times New Roman" w:hAnsi="Times New Roman" w:eastAsia="Times New Roman"/>
          <w:b w:val="0"/>
          <w:i/>
          <w:color w:val="000000"/>
          <w:sz w:val="20"/>
        </w:rPr>
        <w:t>Mov Disord Clin Pract.</w:t>
      </w:r>
      <w:r>
        <w:rPr>
          <w:rFonts w:ascii="Times New Roman" w:hAnsi="Times New Roman" w:eastAsia="Times New Roman"/>
          <w:b w:val="0"/>
          <w:color w:val="000000"/>
          <w:sz w:val="20"/>
        </w:rPr>
        <w:t xml:space="preserve"> 2025;12:520–526. PMC11998691.</w:t>
      </w:r>
    </w:p>
    <w:p>
      <w:pPr>
        <w:spacing w:after="60" w:line="276" w:lineRule="auto"/>
        <w:ind w:left="360" w:hanging="259"/>
      </w:pPr>
      <w:r>
        <w:rPr>
          <w:rFonts w:ascii="Times New Roman" w:hAnsi="Times New Roman" w:eastAsia="Times New Roman"/>
          <w:color w:val="000000"/>
          <w:sz w:val="20"/>
        </w:rPr>
        <w:t xml:space="preserve">10. </w:t>
      </w:r>
      <w:r>
        <w:rPr>
          <w:rFonts w:ascii="Times New Roman" w:hAnsi="Times New Roman" w:eastAsia="Times New Roman"/>
          <w:b w:val="0"/>
          <w:color w:val="000000"/>
          <w:sz w:val="20"/>
        </w:rPr>
        <w:t>ClinicalTrials.gov. Protocol Registration Data Element Definitions for Interventional and Observational Studies. Official definitions.</w:t>
      </w:r>
    </w:p>
    <w:p>
      <w:pPr>
        <w:pStyle w:val="Heading1"/>
        <w:pageBreakBefore/>
      </w:pPr>
      <w:r>
        <w:rPr>
          <w:rFonts w:ascii="Times New Roman" w:hAnsi="Times New Roman" w:eastAsia="Times New Roman"/>
          <w:b/>
          <w:color w:val="000000"/>
          <w:sz w:val="24"/>
        </w:rPr>
        <w:t>Statistical Analysis Plan: Prospective SCA3-Led Maintenance–Reserve–Gating Cohort with SCA6 Transport Testing</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SAP identifier:</w:t>
      </w:r>
      <w:r>
        <w:rPr>
          <w:rFonts w:ascii="Times New Roman" w:hAnsi="Times New Roman" w:eastAsia="Times New Roman"/>
          <w:b w:val="0"/>
          <w:color w:val="000000"/>
          <w:sz w:val="20"/>
        </w:rPr>
        <w:t xml:space="preserve"> MRG-SCA-NHS-SAP</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Version:</w:t>
      </w:r>
      <w:r>
        <w:rPr>
          <w:rFonts w:ascii="Times New Roman" w:hAnsi="Times New Roman" w:eastAsia="Times New Roman"/>
          <w:b w:val="0"/>
          <w:color w:val="000000"/>
          <w:sz w:val="20"/>
        </w:rPr>
        <w:t xml:space="preserve"> 1.1</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Date:</w:t>
      </w:r>
      <w:r>
        <w:rPr>
          <w:rFonts w:ascii="Times New Roman" w:hAnsi="Times New Roman" w:eastAsia="Times New Roman"/>
          <w:b w:val="0"/>
          <w:color w:val="000000"/>
          <w:sz w:val="20"/>
        </w:rPr>
        <w:t xml:space="preserve"> 18 August 2026</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Companion protocol:</w:t>
      </w:r>
      <w:r>
        <w:rPr>
          <w:rFonts w:ascii="Times New Roman" w:hAnsi="Times New Roman" w:eastAsia="Times New Roman"/>
          <w:b w:val="0"/>
          <w:color w:val="000000"/>
          <w:sz w:val="20"/>
        </w:rPr>
        <w:t xml:space="preserve"> Prospective SCA3-Led Maintenance–Reserve–Gating Cohort Protocol with SCA6 Transport Testing</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Status:</w:t>
      </w:r>
      <w:r>
        <w:rPr>
          <w:rFonts w:ascii="Times New Roman" w:hAnsi="Times New Roman" w:eastAsia="Times New Roman"/>
          <w:b w:val="0"/>
          <w:color w:val="000000"/>
          <w:sz w:val="20"/>
        </w:rPr>
        <w:t xml:space="preserve"> To be frozen before the confirmatory analysis team receives outcome-linked exposure data</w:t>
      </w:r>
    </w:p>
    <w:p>
      <w:pPr>
        <w:pStyle w:val="Heading2"/>
      </w:pPr>
      <w:r>
        <w:rPr>
          <w:rFonts w:ascii="Times New Roman" w:hAnsi="Times New Roman" w:eastAsia="Times New Roman"/>
          <w:b/>
          <w:color w:val="000000"/>
          <w:sz w:val="22"/>
        </w:rPr>
        <w:t>1. Purpose and inferential boundary</w:t>
      </w:r>
    </w:p>
    <w:p>
      <w:pPr>
        <w:keepLines w:val="0"/>
        <w:jc w:val="both"/>
      </w:pPr>
      <w:r>
        <w:rPr>
          <w:rFonts w:ascii="Times New Roman" w:hAnsi="Times New Roman" w:eastAsia="Times New Roman"/>
          <w:b w:val="0"/>
          <w:color w:val="000000"/>
          <w:sz w:val="20"/>
        </w:rPr>
        <w:t xml:space="preserve">This SAP defines the estimands, models, multiplicity control, missing-data procedures, sensitivity analyses, sample-size assumptions, validation rules, and go/no-go criteria for the five-year MRG-SCA-NHS cohort. The confirmatory question concerns one candidate exposure selected from the protocol's finite shortlist by an outcome-blind rule and frozen as measured operationalization </w:t>
      </w:r>
      <m:oMath>
        <m:r>
          <m:rPr>
            <m:nor/>
          </m:rPr>
          <m:t>E</m:t>
        </m:r>
        <m:r>
          <m:rPr>
            <m:nor/>
          </m:rPr>
          <m:t>*</m:t>
        </m:r>
      </m:oMath>
      <w:r>
        <w:rPr>
          <w:rFonts w:ascii="Times New Roman" w:hAnsi="Times New Roman" w:eastAsia="Times New Roman"/>
          <w:b w:val="0"/>
          <w:color w:val="000000"/>
          <w:sz w:val="20"/>
        </w:rPr>
        <w:t xml:space="preserve">, together with the derived analytic score </w:t>
      </w:r>
      <m:oMath>
        <m:r>
          <m:rPr>
            <m:nor/>
          </m:rPr>
          <m:t>S</m:t>
        </m:r>
        <m:r>
          <m:rPr>
            <m:nor/>
          </m:rPr>
          <m:t>*</m:t>
        </m:r>
        <m:r>
          <m:rPr>
            <m:nor/>
          </m:rPr>
          <m:t>=</m:t>
        </m:r>
        <m:r>
          <m:rPr>
            <m:nor/>
          </m:rPr>
          <m:t>h</m:t>
        </m:r>
        <m:r>
          <m:rPr>
            <m:nor/>
          </m:rPr>
          <m:t>(</m:t>
        </m:r>
        <m:r>
          <m:rPr>
            <m:nor/>
          </m:rPr>
          <m:t>E</m:t>
        </m:r>
        <m:r>
          <m:rPr>
            <m:nor/>
          </m:rPr>
          <m:t>*</m:t>
        </m:r>
        <m:r>
          <m:rPr>
            <m:nor/>
          </m:rPr>
          <m:t>;</m:t>
        </m:r>
        <m:r>
          <m:rPr>
            <m:nor/>
          </m:rPr>
          <m:t>θ</m:t>
        </m:r>
        <m:r>
          <m:rPr>
            <m:nor/>
          </m:rPr>
          <m:t>)</m:t>
        </m:r>
      </m:oMath>
      <w:r>
        <w:rPr>
          <w:rFonts w:ascii="Times New Roman" w:hAnsi="Times New Roman" w:eastAsia="Times New Roman"/>
          <w:b w:val="0"/>
          <w:color w:val="000000"/>
          <w:sz w:val="20"/>
        </w:rPr>
        <w:t xml:space="preserve">. Neither </w:t>
      </w:r>
      <m:oMath>
        <m:r>
          <m:rPr>
            <m:nor/>
          </m:rPr>
          <m:t>E</m:t>
        </m:r>
        <m:r>
          <m:rPr>
            <m:nor/>
          </m:rPr>
          <m:t>*</m:t>
        </m:r>
      </m:oMath>
      <w:r>
        <w:rPr>
          <w:rFonts w:ascii="Times New Roman" w:hAnsi="Times New Roman" w:eastAsia="Times New Roman"/>
          <w:b w:val="0"/>
          <w:color w:val="000000"/>
          <w:sz w:val="20"/>
        </w:rPr>
        <w:t xml:space="preserve"> nor </w:t>
      </w:r>
      <m:oMath>
        <m:r>
          <m:rPr>
            <m:nor/>
          </m:rPr>
          <m:t>S</m:t>
        </m:r>
        <m:r>
          <m:rPr>
            <m:nor/>
          </m:rPr>
          <m:t>*</m:t>
        </m:r>
      </m:oMath>
      <w:r>
        <w:rPr>
          <w:rFonts w:ascii="Times New Roman" w:hAnsi="Times New Roman" w:eastAsia="Times New Roman"/>
          <w:b w:val="0"/>
          <w:color w:val="000000"/>
          <w:sz w:val="20"/>
        </w:rPr>
        <w:t xml:space="preserve"> is the hypothetical biological input </w:t>
      </w:r>
      <m:oMath>
        <m:r>
          <m:rPr>
            <m:nor/>
          </m:rPr>
          <m:t>X</m:t>
        </m:r>
      </m:oMath>
      <w:r>
        <w:rPr>
          <w:rFonts w:ascii="Times New Roman" w:hAnsi="Times New Roman" w:eastAsia="Times New Roman"/>
          <w:b w:val="0"/>
          <w:color w:val="000000"/>
          <w:sz w:val="20"/>
        </w:rPr>
        <w:t>. The analysis cannot identify an unrestricted unknown input, establish a biological gate or reserve as an observed entity, prove that an association is causal, or qualify a biomarker as a surrogate endpoint.</w:t>
      </w:r>
    </w:p>
    <w:p>
      <w:pPr>
        <w:keepLines w:val="0"/>
        <w:jc w:val="both"/>
      </w:pPr>
      <w:r>
        <w:rPr>
          <w:rFonts w:ascii="Times New Roman" w:hAnsi="Times New Roman" w:eastAsia="Times New Roman"/>
          <w:b w:val="0"/>
          <w:color w:val="000000"/>
          <w:sz w:val="20"/>
        </w:rPr>
        <w:t>All analyses will preserve the distinction between:</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color w:val="000000"/>
          <w:sz w:val="20"/>
        </w:rPr>
        <w:t>confirmation:</w:t>
      </w:r>
      <w:r>
        <w:rPr>
          <w:rFonts w:ascii="Times New Roman" w:hAnsi="Times New Roman" w:eastAsia="Times New Roman"/>
          <w:b w:val="0"/>
          <w:color w:val="000000"/>
          <w:sz w:val="20"/>
        </w:rPr>
        <w:t xml:space="preserve"> H1 and H2 for the frozen </w:t>
      </w:r>
      <m:oMath>
        <m:r>
          <m:rPr>
            <m:nor/>
          </m:rPr>
          <m:t>E</m:t>
        </m:r>
        <m:r>
          <m:rPr>
            <m:nor/>
          </m:rPr>
          <m:t>*</m:t>
        </m:r>
        <m:r>
          <m:rPr>
            <m:nor/>
          </m:rPr>
          <m:t>/</m:t>
        </m:r>
        <m:r>
          <m:rPr>
            <m:nor/>
          </m:rPr>
          <m:t>S</m:t>
        </m:r>
        <m:r>
          <m:rPr>
            <m:nor/>
          </m:rPr>
          <m:t>*</m:t>
        </m:r>
      </m:oMath>
      <w:r>
        <w:rPr>
          <w:rFonts w:ascii="Times New Roman" w:hAnsi="Times New Roman" w:eastAsia="Times New Roman"/>
          <w:b w:val="0"/>
          <w:color w:val="000000"/>
          <w:sz w:val="20"/>
        </w:rPr>
        <w:t xml:space="preserve"> implementation and primary phenoconversion outcome;</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color w:val="000000"/>
          <w:sz w:val="20"/>
        </w:rPr>
        <w:t>supportive natural history:</w:t>
      </w:r>
      <w:r>
        <w:rPr>
          <w:rFonts w:ascii="Times New Roman" w:hAnsi="Times New Roman" w:eastAsia="Times New Roman"/>
          <w:b w:val="0"/>
          <w:color w:val="000000"/>
          <w:sz w:val="20"/>
        </w:rPr>
        <w:t xml:space="preserve"> prespecified longitudinal clinical and biomarker analyses;</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color w:val="000000"/>
          <w:sz w:val="20"/>
        </w:rPr>
        <w:t>model development:</w:t>
      </w:r>
      <w:r>
        <w:rPr>
          <w:rFonts w:ascii="Times New Roman" w:hAnsi="Times New Roman" w:eastAsia="Times New Roman"/>
          <w:b w:val="0"/>
          <w:color w:val="000000"/>
          <w:sz w:val="20"/>
        </w:rPr>
        <w:t xml:space="preserve"> derivation of the latent biomarker state </w:t>
      </w:r>
      <m:oMath>
        <m:r>
          <m:rPr>
            <m:nor/>
          </m:rPr>
          <m:t>L</m:t>
        </m:r>
        <m:r>
          <m:rPr>
            <m:nor/>
          </m:rPr>
          <m:t>(</m:t>
        </m:r>
        <m:r>
          <m:rPr>
            <m:nor/>
          </m:rPr>
          <m:t>t</m:t>
        </m:r>
        <m:r>
          <m:rPr>
            <m:nor/>
          </m:rPr>
          <m:t>)</m:t>
        </m:r>
      </m:oMath>
      <w:r>
        <w:rPr>
          <w:rFonts w:ascii="Times New Roman" w:hAnsi="Times New Roman" w:eastAsia="Times New Roman"/>
          <w:b w:val="0"/>
          <w:color w:val="000000"/>
          <w:sz w:val="20"/>
        </w:rPr>
        <w:t>;</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color w:val="000000"/>
          <w:sz w:val="20"/>
        </w:rPr>
        <w:t>external validation:</w:t>
      </w:r>
      <w:r>
        <w:rPr>
          <w:rFonts w:ascii="Times New Roman" w:hAnsi="Times New Roman" w:eastAsia="Times New Roman"/>
          <w:b w:val="0"/>
          <w:color w:val="000000"/>
          <w:sz w:val="20"/>
        </w:rPr>
        <w:t xml:space="preserve"> evaluation of a frozen model in a different geography or later recruitment wave;</w:t>
      </w:r>
    </w:p>
    <w:p>
      <w:pPr>
        <w:spacing w:after="60" w:line="276" w:lineRule="auto"/>
        <w:ind w:left="360" w:hanging="259"/>
      </w:pPr>
      <w:r>
        <w:rPr>
          <w:rFonts w:ascii="Times New Roman" w:hAnsi="Times New Roman" w:eastAsia="Times New Roman"/>
          <w:color w:val="000000"/>
          <w:sz w:val="20"/>
        </w:rPr>
        <w:t xml:space="preserve">5. </w:t>
      </w:r>
      <w:r>
        <w:rPr>
          <w:rFonts w:ascii="Times New Roman" w:hAnsi="Times New Roman" w:eastAsia="Times New Roman"/>
          <w:b/>
          <w:color w:val="000000"/>
          <w:sz w:val="20"/>
        </w:rPr>
        <w:t>exploration:</w:t>
      </w:r>
      <w:r>
        <w:rPr>
          <w:rFonts w:ascii="Times New Roman" w:hAnsi="Times New Roman" w:eastAsia="Times New Roman"/>
          <w:b w:val="0"/>
          <w:color w:val="000000"/>
          <w:sz w:val="20"/>
        </w:rPr>
        <w:t xml:space="preserve"> additional exposures, windows, thresholds, mixtures, biomarkers, and omics.</w:t>
      </w:r>
    </w:p>
    <w:p>
      <w:pPr>
        <w:pStyle w:val="Heading2"/>
      </w:pPr>
      <w:r>
        <w:rPr>
          <w:rFonts w:ascii="Times New Roman" w:hAnsi="Times New Roman" w:eastAsia="Times New Roman"/>
          <w:b/>
          <w:color w:val="000000"/>
          <w:sz w:val="22"/>
        </w:rPr>
        <w:t>2. Analysis governance and freezes</w:t>
      </w:r>
    </w:p>
    <w:p>
      <w:pPr>
        <w:pStyle w:val="Heading3"/>
      </w:pPr>
      <w:r>
        <w:rPr>
          <w:rFonts w:ascii="Times New Roman" w:hAnsi="Times New Roman" w:eastAsia="Times New Roman"/>
          <w:b/>
          <w:color w:val="000000"/>
          <w:sz w:val="20"/>
        </w:rPr>
        <w:t>2.1 Required locked materials</w:t>
      </w:r>
    </w:p>
    <w:p>
      <w:pPr>
        <w:keepLines w:val="0"/>
        <w:jc w:val="both"/>
      </w:pPr>
      <w:r>
        <w:rPr>
          <w:rFonts w:ascii="Times New Roman" w:hAnsi="Times New Roman" w:eastAsia="Times New Roman"/>
          <w:b w:val="0"/>
          <w:color w:val="000000"/>
          <w:sz w:val="20"/>
        </w:rPr>
        <w:t>Before outcome-linked confirmatory analysis, the following versioned materials will be deposited in a time-stamped registry or public repository:</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final protocol and this SAP;</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causal diagram and minimal adjustment set;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data dictionary and outcome-adjudication charter;</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i/>
          <w:color w:val="000000"/>
          <w:sz w:val="20"/>
        </w:rPr>
        <w:t>E*/S* Specification Memorandum</w:t>
      </w:r>
      <w:r>
        <w:rPr>
          <w:rFonts w:ascii="Times New Roman" w:hAnsi="Times New Roman" w:eastAsia="Times New Roman"/>
          <w:b w:val="0"/>
          <w:color w:val="000000"/>
          <w:sz w:val="20"/>
        </w:rPr>
        <w:t>, including the shortlist score/tie-break record, selected candidate, source versions, code hash, transformation, spline knots, and exposure-support rules;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shell tables, figure specifications, and model-convergence rules;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allocation of sites or recruitment waves to model development and external validation;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simulation report for the final event count and observed outcome-blind covariate/exposure distributions.</w:t>
      </w:r>
    </w:p>
    <w:p>
      <w:pPr>
        <w:keepLines w:val="0"/>
        <w:jc w:val="both"/>
      </w:pPr>
      <w:r>
        <w:rPr>
          <w:rFonts w:ascii="Times New Roman" w:hAnsi="Times New Roman" w:eastAsia="Times New Roman"/>
          <w:b w:val="0"/>
          <w:color w:val="000000"/>
          <w:sz w:val="20"/>
        </w:rPr>
        <w:t>The exposure team may inspect addresses and exposure-quality data but not phenoconversion, SARA, NfL, imaging, digital-motor, or patient-reported outcomes. The confirmatory analysts receive the frozen exposure only after database lock. Any amendment after outcome access is labelled post hoc and does not replace the registered analysis.</w:t>
      </w:r>
    </w:p>
    <w:p>
      <w:pPr>
        <w:pStyle w:val="Heading3"/>
      </w:pPr>
      <w:r>
        <w:rPr>
          <w:rFonts w:ascii="Times New Roman" w:hAnsi="Times New Roman" w:eastAsia="Times New Roman"/>
          <w:b/>
          <w:color w:val="000000"/>
          <w:sz w:val="20"/>
        </w:rPr>
        <w:t>2.2 Software and reproducibility</w:t>
      </w:r>
    </w:p>
    <w:p>
      <w:pPr>
        <w:keepLines w:val="0"/>
        <w:jc w:val="both"/>
      </w:pPr>
      <w:r>
        <w:rPr>
          <w:rFonts w:ascii="Times New Roman" w:hAnsi="Times New Roman" w:eastAsia="Times New Roman"/>
          <w:b w:val="0"/>
          <w:color w:val="000000"/>
          <w:sz w:val="20"/>
        </w:rPr>
        <w:t>Analyses will use a version-locked R or Python environment. The public release will include synthetic or disclosure-safe test data, executable code, session information, deterministic seeds, and a machine-readable table linking every reported estimate to its population, model, and data freeze. Exact residential and genetic identifiers remain controlled access.</w:t>
      </w:r>
    </w:p>
    <w:p>
      <w:pPr>
        <w:pStyle w:val="Heading2"/>
      </w:pPr>
      <w:r>
        <w:rPr>
          <w:rFonts w:ascii="Times New Roman" w:hAnsi="Times New Roman" w:eastAsia="Times New Roman"/>
          <w:b/>
          <w:color w:val="000000"/>
          <w:sz w:val="22"/>
        </w:rPr>
        <w:t>3. Analysis populations</w:t>
      </w:r>
    </w:p>
    <w:p>
      <w:pPr>
        <w:pStyle w:val="Heading3"/>
      </w:pPr>
      <w:r>
        <w:rPr>
          <w:rFonts w:ascii="Times New Roman" w:hAnsi="Times New Roman" w:eastAsia="Times New Roman"/>
          <w:b/>
          <w:color w:val="000000"/>
          <w:sz w:val="20"/>
        </w:rPr>
        <w:t>3.1 Confirmatory phenoconversion population</w:t>
      </w:r>
    </w:p>
    <w:p>
      <w:pPr>
        <w:keepLines w:val="0"/>
        <w:jc w:val="both"/>
      </w:pPr>
      <w:r>
        <w:rPr>
          <w:rFonts w:ascii="Times New Roman" w:hAnsi="Times New Roman" w:eastAsia="Times New Roman"/>
          <w:b w:val="0"/>
          <w:color w:val="000000"/>
          <w:sz w:val="20"/>
        </w:rPr>
        <w:t>All enrolled preataxic SCA3 or SCA6 expansion carriers who:</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meet the protocol's baseline preataxic definition;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contribute at least one post-baseline event assessment or die before that assessment;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 xml:space="preserve">have an </w:t>
      </w:r>
      <m:oMath>
        <m:r>
          <m:rPr>
            <m:nor/>
          </m:rPr>
          <m:t>E</m:t>
        </m:r>
        <m:r>
          <m:rPr>
            <m:nor/>
          </m:rPr>
          <m:t>*</m:t>
        </m:r>
      </m:oMath>
      <w:r>
        <w:rPr>
          <w:rFonts w:ascii="Times New Roman" w:hAnsi="Times New Roman" w:eastAsia="Times New Roman"/>
          <w:b w:val="0"/>
          <w:color w:val="000000"/>
          <w:sz w:val="20"/>
        </w:rPr>
        <w:t xml:space="preserve"> value meeting the individual address-coverage rule;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belong to a region that passes the prespecified exposure-quality and support gate.</w:t>
      </w:r>
    </w:p>
    <w:p>
      <w:pPr>
        <w:keepLines w:val="0"/>
        <w:jc w:val="both"/>
      </w:pPr>
      <w:r>
        <w:rPr>
          <w:rFonts w:ascii="Times New Roman" w:hAnsi="Times New Roman" w:eastAsia="Times New Roman"/>
          <w:b w:val="0"/>
          <w:color w:val="000000"/>
          <w:sz w:val="20"/>
        </w:rPr>
        <w:t>Participants are analysed according to baseline genotype and stratum. Exclusion after outcomes are known is prohibited except for centrally adjudicated baseline ineligibility documented without reference to exposure.</w:t>
      </w:r>
    </w:p>
    <w:p>
      <w:pPr>
        <w:pStyle w:val="Heading3"/>
      </w:pPr>
      <w:r>
        <w:rPr>
          <w:rFonts w:ascii="Times New Roman" w:hAnsi="Times New Roman" w:eastAsia="Times New Roman"/>
          <w:b/>
          <w:color w:val="000000"/>
          <w:sz w:val="20"/>
        </w:rPr>
        <w:t>3.2 Natural-history population</w:t>
      </w:r>
    </w:p>
    <w:p>
      <w:pPr>
        <w:keepLines w:val="0"/>
        <w:jc w:val="both"/>
      </w:pPr>
      <w:r>
        <w:rPr>
          <w:rFonts w:ascii="Times New Roman" w:hAnsi="Times New Roman" w:eastAsia="Times New Roman"/>
          <w:b w:val="0"/>
          <w:color w:val="000000"/>
          <w:sz w:val="20"/>
        </w:rPr>
        <w:t xml:space="preserve">All eligible preataxic and early symptomatic carriers with a baseline measure and at least one usable outcome. Participants from regions that fail the </w:t>
      </w:r>
      <m:oMath>
        <m:r>
          <m:rPr>
            <m:nor/>
          </m:rPr>
          <m:t>E</m:t>
        </m:r>
        <m:r>
          <m:rPr>
            <m:nor/>
          </m:rPr>
          <m:t>*</m:t>
        </m:r>
      </m:oMath>
      <w:r>
        <w:rPr>
          <w:rFonts w:ascii="Times New Roman" w:hAnsi="Times New Roman" w:eastAsia="Times New Roman"/>
          <w:b w:val="0"/>
          <w:color w:val="000000"/>
          <w:sz w:val="20"/>
        </w:rPr>
        <w:t xml:space="preserve"> gate remain in genotype-specific natural-history analyses.</w:t>
      </w:r>
    </w:p>
    <w:p>
      <w:pPr>
        <w:pStyle w:val="Heading3"/>
      </w:pPr>
      <w:r>
        <w:rPr>
          <w:rFonts w:ascii="Times New Roman" w:hAnsi="Times New Roman" w:eastAsia="Times New Roman"/>
          <w:b/>
          <w:color w:val="000000"/>
          <w:sz w:val="20"/>
        </w:rPr>
        <w:t>3.3 Biomarker populations</w:t>
      </w:r>
    </w:p>
    <w:p>
      <w:pPr>
        <w:keepLines w:val="0"/>
        <w:jc w:val="both"/>
      </w:pPr>
      <w:r>
        <w:rPr>
          <w:rFonts w:ascii="Times New Roman" w:hAnsi="Times New Roman" w:eastAsia="Times New Roman"/>
          <w:b w:val="0"/>
          <w:color w:val="000000"/>
          <w:sz w:val="20"/>
        </w:rPr>
        <w:t>Each modality population contains all eligible participants with a valid baseline measurement and at least one valid follow-up for that modality. Modality-specific quality-control exclusion is performed blind to exposure and clinical trajectory. Reasons and counts are reported.</w:t>
      </w:r>
    </w:p>
    <w:p>
      <w:pPr>
        <w:pStyle w:val="Heading3"/>
      </w:pPr>
      <w:r>
        <w:rPr>
          <w:rFonts w:ascii="Times New Roman" w:hAnsi="Times New Roman" w:eastAsia="Times New Roman"/>
          <w:b/>
          <w:color w:val="000000"/>
          <w:sz w:val="20"/>
        </w:rPr>
        <w:t>3.4 Normative-control population</w:t>
      </w:r>
    </w:p>
    <w:p>
      <w:pPr>
        <w:keepLines w:val="0"/>
        <w:jc w:val="both"/>
      </w:pPr>
      <w:r>
        <w:rPr>
          <w:rFonts w:ascii="Times New Roman" w:hAnsi="Times New Roman" w:eastAsia="Times New Roman"/>
          <w:b w:val="0"/>
          <w:color w:val="000000"/>
          <w:sz w:val="20"/>
        </w:rPr>
        <w:t>Expansion-negative relatives and community controls with valid measures provide age-, sex-, and site-adjusted normative distributions. Controls do not contribute person-time to carrier phenoconversion analyses.</w:t>
      </w:r>
    </w:p>
    <w:p>
      <w:pPr>
        <w:pStyle w:val="Heading3"/>
      </w:pPr>
      <w:r>
        <w:rPr>
          <w:rFonts w:ascii="Times New Roman" w:hAnsi="Times New Roman" w:eastAsia="Times New Roman"/>
          <w:b/>
          <w:color w:val="000000"/>
          <w:sz w:val="20"/>
        </w:rPr>
        <w:t>3.5 External-validation population</w:t>
      </w:r>
    </w:p>
    <w:p>
      <w:pPr>
        <w:keepLines w:val="0"/>
        <w:jc w:val="both"/>
      </w:pPr>
      <w:r>
        <w:rPr>
          <w:rFonts w:ascii="Times New Roman" w:hAnsi="Times New Roman" w:eastAsia="Times New Roman"/>
          <w:b w:val="0"/>
          <w:color w:val="000000"/>
          <w:sz w:val="20"/>
        </w:rPr>
        <w:t>External validation requires a geography, health system, or prospectively enrolled later wave that did not contribute to exposure selection, knot selection, latent-state loadings, model coefficients, tuning, or threshold selection. A random split of one pooled dataset is internal validation and will not be called external validation.</w:t>
      </w:r>
    </w:p>
    <w:p>
      <w:pPr>
        <w:pStyle w:val="Heading2"/>
      </w:pPr>
      <w:r>
        <w:rPr>
          <w:rFonts w:ascii="Times New Roman" w:hAnsi="Times New Roman" w:eastAsia="Times New Roman"/>
          <w:b/>
          <w:color w:val="000000"/>
          <w:sz w:val="22"/>
        </w:rPr>
        <w:t>4. Data conventions and derived variables</w:t>
      </w:r>
    </w:p>
    <w:p>
      <w:pPr>
        <w:pStyle w:val="Heading3"/>
      </w:pPr>
      <w:r>
        <w:rPr>
          <w:rFonts w:ascii="Times New Roman" w:hAnsi="Times New Roman" w:eastAsia="Times New Roman"/>
          <w:b/>
          <w:color w:val="000000"/>
          <w:sz w:val="20"/>
        </w:rPr>
        <w:t>4.1 Time scales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The primary survival time scale is age in years.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Entry is delayed until age at baseline.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Longitudinal analyses use years since baseline, with actual visit date rather than nominal month.</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Calendar year and birth cohort are retained because exposure data and ascertainment may change over time.</w:t>
      </w:r>
    </w:p>
    <w:p>
      <w:pPr>
        <w:pStyle w:val="Heading3"/>
      </w:pPr>
      <w:r>
        <w:rPr>
          <w:rFonts w:ascii="Times New Roman" w:hAnsi="Times New Roman" w:eastAsia="Times New Roman"/>
          <w:b/>
          <w:color w:val="000000"/>
          <w:sz w:val="20"/>
        </w:rPr>
        <w:t>4.2 Genotype and stage</w:t>
      </w:r>
    </w:p>
    <w:p>
      <w:pPr>
        <w:spacing w:after="60" w:line="276" w:lineRule="auto"/>
        <w:ind w:left="360" w:hanging="259"/>
      </w:pPr>
      <w:r>
        <w:rPr>
          <w:rFonts w:ascii="Times New Roman" w:hAnsi="Times New Roman" w:eastAsia="Times New Roman"/>
          <w:color w:val="000000"/>
          <w:sz w:val="20"/>
        </w:rPr>
        <w:t xml:space="preserve">• </w:t>
      </w:r>
      <m:oMath>
        <m:r>
          <m:rPr>
            <m:nor/>
          </m:rPr>
          <m:t>G</m:t>
        </m:r>
        <m:r>
          <m:rPr>
            <m:nor/>
          </m:rPr>
          <m:t>=</m:t>
        </m:r>
        <m:r>
          <m:rPr>
            <m:nor/>
          </m:rPr>
          <m:t>0</m:t>
        </m:r>
      </m:oMath>
      <w:r>
        <w:rPr>
          <w:rFonts w:ascii="Times New Roman" w:hAnsi="Times New Roman" w:eastAsia="Times New Roman"/>
          <w:b w:val="0"/>
          <w:color w:val="000000"/>
          <w:sz w:val="20"/>
        </w:rPr>
        <w:t xml:space="preserve"> denotes SCA3 and </w:t>
      </w:r>
      <m:oMath>
        <m:r>
          <m:rPr>
            <m:nor/>
          </m:rPr>
          <m:t>G</m:t>
        </m:r>
        <m:r>
          <m:rPr>
            <m:nor/>
          </m:rPr>
          <m:t>=</m:t>
        </m:r>
        <m:r>
          <m:rPr>
            <m:nor/>
          </m:rPr>
          <m:t>1</m:t>
        </m:r>
      </m:oMath>
      <w:r>
        <w:rPr>
          <w:rFonts w:ascii="Times New Roman" w:hAnsi="Times New Roman" w:eastAsia="Times New Roman"/>
          <w:b w:val="0"/>
          <w:color w:val="000000"/>
          <w:sz w:val="20"/>
        </w:rPr>
        <w:t xml:space="preserve"> denotes SCA6 for model coding; published tables use names.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Expanded and normal repeat lengths are stored as measured integers and centred within genotype.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Baseline stage is preataxic or early symptomatic according to the protocol and is never redefined using a future trajectory.</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 xml:space="preserve">A proposed coupling score </w:t>
      </w:r>
      <m:oMath>
        <m:r>
          <m:rPr>
            <m:nor/>
          </m:rPr>
          <m:t>R</m:t>
        </m:r>
      </m:oMath>
      <w:r>
        <w:rPr>
          <w:rFonts w:ascii="Times New Roman" w:hAnsi="Times New Roman" w:eastAsia="Times New Roman"/>
          <w:b w:val="0"/>
          <w:color w:val="000000"/>
          <w:sz w:val="20"/>
        </w:rPr>
        <w:t xml:space="preserve"> is not a confirmatory variable unless its formula and external weights are frozen without this cohort's onset, progression, or biomarker outcomes. Otherwise analyses are named genotype-by-environment, not </w:t>
      </w:r>
      <m:oMath>
        <m:r>
          <m:rPr>
            <m:nor/>
          </m:rPr>
          <m:t>R</m:t>
        </m:r>
      </m:oMath>
      <w:r>
        <w:rPr>
          <w:rFonts w:ascii="Times New Roman" w:hAnsi="Times New Roman" w:eastAsia="Times New Roman"/>
          <w:b w:val="0"/>
          <w:color w:val="000000"/>
          <w:sz w:val="20"/>
        </w:rPr>
        <w:t>-by-environment.</w:t>
      </w:r>
    </w:p>
    <w:p>
      <w:pPr>
        <w:pStyle w:val="Heading3"/>
      </w:pPr>
      <w:r>
        <w:rPr>
          <w:rFonts w:ascii="Times New Roman" w:hAnsi="Times New Roman" w:eastAsia="Times New Roman"/>
          <w:b/>
          <w:color w:val="000000"/>
          <w:sz w:val="20"/>
        </w:rPr>
        <w:t>4.3 Candidate exposure</w:t>
      </w:r>
    </w:p>
    <w:p>
      <w:pPr>
        <w:keepLines w:val="0"/>
        <w:jc w:val="both"/>
      </w:pPr>
      <m:oMath>
        <m:r>
          <m:rPr>
            <m:nor/>
          </m:rPr>
          <m:t>E</m:t>
        </m:r>
        <m:r>
          <m:rPr>
            <m:nor/>
          </m:rPr>
          <m:t>*</m:t>
        </m:r>
      </m:oMath>
      <w:r>
        <w:rPr>
          <w:rFonts w:ascii="Times New Roman" w:hAnsi="Times New Roman" w:eastAsia="Times New Roman"/>
          <w:b w:val="0"/>
          <w:color w:val="000000"/>
          <w:sz w:val="20"/>
        </w:rPr>
        <w:t xml:space="preserve"> is the single measured candidate selected by the protocol's registered outcome-blind rubric: either five-year-lagged lifetime mean residential agricultural pesticide intensity or five-year-lagged lifetime proportion of residence using untreated private-well water. The candidate identity, zero or unknown handling, top coding where applicable, reliability threshold, and regional eligibility are fixed in the </w:t>
      </w:r>
      <w:r>
        <w:rPr>
          <w:rFonts w:ascii="Times New Roman" w:hAnsi="Times New Roman" w:eastAsia="Times New Roman"/>
          <w:b w:val="0"/>
          <w:i/>
          <w:color w:val="000000"/>
          <w:sz w:val="20"/>
        </w:rPr>
        <w:t>E*/S* Specification Memorandum</w:t>
      </w:r>
      <w:r>
        <w:rPr>
          <w:rFonts w:ascii="Times New Roman" w:hAnsi="Times New Roman" w:eastAsia="Times New Roman"/>
          <w:b w:val="0"/>
          <w:color w:val="000000"/>
          <w:sz w:val="20"/>
        </w:rPr>
        <w:t xml:space="preserve">. The nonselected candidate cannot replace </w:t>
      </w:r>
      <m:oMath>
        <m:r>
          <m:rPr>
            <m:nor/>
          </m:rPr>
          <m:t>E</m:t>
        </m:r>
        <m:r>
          <m:rPr>
            <m:nor/>
          </m:rPr>
          <m:t>*</m:t>
        </m:r>
      </m:oMath>
      <w:r>
        <w:rPr>
          <w:rFonts w:ascii="Times New Roman" w:hAnsi="Times New Roman" w:eastAsia="Times New Roman"/>
          <w:b w:val="0"/>
          <w:color w:val="000000"/>
          <w:sz w:val="20"/>
        </w:rPr>
        <w:t xml:space="preserve"> after outcomes are examined.</w:t>
      </w:r>
    </w:p>
    <w:p>
      <w:pPr>
        <w:keepLines w:val="0"/>
        <w:jc w:val="both"/>
      </w:pPr>
      <m:oMath>
        <m:r>
          <m:rPr>
            <m:nor/>
          </m:rPr>
          <m:t>S</m:t>
        </m:r>
        <m:r>
          <m:rPr>
            <m:nor/>
          </m:rPr>
          <m:t>*</m:t>
        </m:r>
        <m:r>
          <m:rPr>
            <m:nor/>
          </m:rPr>
          <m:t>=</m:t>
        </m:r>
        <m:r>
          <m:rPr>
            <m:nor/>
          </m:rPr>
          <m:t>h</m:t>
        </m:r>
        <m:r>
          <m:rPr>
            <m:nor/>
          </m:rPr>
          <m:t>(</m:t>
        </m:r>
        <m:r>
          <m:rPr>
            <m:nor/>
          </m:rPr>
          <m:t>E</m:t>
        </m:r>
        <m:r>
          <m:rPr>
            <m:nor/>
          </m:rPr>
          <m:t>*</m:t>
        </m:r>
        <m:r>
          <m:rPr>
            <m:nor/>
          </m:rPr>
          <m:t>;</m:t>
        </m:r>
        <m:r>
          <m:rPr>
            <m:nor/>
          </m:rPr>
          <m:t>θ</m:t>
        </m:r>
        <m:r>
          <m:rPr>
            <m:nor/>
          </m:rPr>
          <m:t>)</m:t>
        </m:r>
      </m:oMath>
      <w:r>
        <w:rPr>
          <w:rFonts w:ascii="Times New Roman" w:hAnsi="Times New Roman" w:eastAsia="Times New Roman"/>
          <w:b w:val="0"/>
          <w:color w:val="000000"/>
          <w:sz w:val="20"/>
        </w:rPr>
        <w:t xml:space="preserve"> is the median- and interquartile-range-scaled value of top-coded </w:t>
      </w:r>
      <m:oMath>
        <m:r>
          <m:rPr>
            <m:nor/>
          </m:rPr>
          <m:t>E</m:t>
        </m:r>
        <m:r>
          <m:rPr>
            <m:nor/>
          </m:rPr>
          <m:t>*</m:t>
        </m:r>
      </m:oMath>
      <w:r>
        <w:rPr>
          <w:rFonts w:ascii="Times New Roman" w:hAnsi="Times New Roman" w:eastAsia="Times New Roman"/>
          <w:b w:val="0"/>
          <w:color w:val="000000"/>
          <w:sz w:val="20"/>
        </w:rPr>
        <w:t xml:space="preserve"> defined in the protocol. The top-coding rule, eligible exposure-only population, median, interquartile range, and failure rule are frozen before outcome access. All confirmatory spline, interaction, and longitudinal exposure terms use </w:t>
      </w:r>
      <m:oMath>
        <m:r>
          <m:rPr>
            <m:nor/>
          </m:rPr>
          <m:t>S</m:t>
        </m:r>
        <m:r>
          <m:rPr>
            <m:nor/>
          </m:rPr>
          <m:t>*</m:t>
        </m:r>
      </m:oMath>
      <w:r>
        <w:rPr>
          <w:rFonts w:ascii="Times New Roman" w:hAnsi="Times New Roman" w:eastAsia="Times New Roman"/>
          <w:b w:val="0"/>
          <w:color w:val="000000"/>
          <w:sz w:val="20"/>
        </w:rPr>
        <w:t xml:space="preserve">; raw-unit </w:t>
      </w:r>
      <m:oMath>
        <m:r>
          <m:rPr>
            <m:nor/>
          </m:rPr>
          <m:t>E</m:t>
        </m:r>
        <m:r>
          <m:rPr>
            <m:nor/>
          </m:rPr>
          <m:t>*</m:t>
        </m:r>
      </m:oMath>
      <w:r>
        <w:rPr>
          <w:rFonts w:ascii="Times New Roman" w:hAnsi="Times New Roman" w:eastAsia="Times New Roman"/>
          <w:b w:val="0"/>
          <w:color w:val="000000"/>
          <w:sz w:val="20"/>
        </w:rPr>
        <w:t xml:space="preserve"> summaries remain descriptive. This fixed bridge does not identify </w:t>
      </w:r>
      <m:oMath>
        <m:r>
          <m:rPr>
            <m:nor/>
          </m:rPr>
          <m:t>X</m:t>
        </m:r>
      </m:oMath>
      <w:r>
        <w:rPr>
          <w:rFonts w:ascii="Times New Roman" w:hAnsi="Times New Roman" w:eastAsia="Times New Roman"/>
          <w:b w:val="0"/>
          <w:color w:val="000000"/>
          <w:sz w:val="20"/>
        </w:rPr>
        <w:t xml:space="preserve"> and cannot be re-estimated from SCA outcomes.</w:t>
      </w:r>
    </w:p>
    <w:p>
      <w:pPr>
        <w:keepLines w:val="0"/>
        <w:jc w:val="both"/>
      </w:pPr>
      <w:r>
        <w:rPr>
          <w:rFonts w:ascii="Times New Roman" w:hAnsi="Times New Roman" w:eastAsia="Times New Roman"/>
          <w:b w:val="0"/>
          <w:color w:val="000000"/>
          <w:sz w:val="20"/>
        </w:rPr>
        <w:t xml:space="preserve">The primary restricted cubic spline for </w:t>
      </w:r>
      <m:oMath>
        <m:r>
          <m:rPr>
            <m:nor/>
          </m:rPr>
          <m:t>S</m:t>
        </m:r>
        <m:r>
          <m:rPr>
            <m:nor/>
          </m:rPr>
          <m:t>*</m:t>
        </m:r>
      </m:oMath>
      <w:r>
        <w:rPr>
          <w:rFonts w:ascii="Times New Roman" w:hAnsi="Times New Roman" w:eastAsia="Times New Roman"/>
          <w:b w:val="0"/>
          <w:color w:val="000000"/>
          <w:sz w:val="20"/>
        </w:rPr>
        <w:t xml:space="preserve"> has four knots at the 5th, 35th, 65th, and 95th percentiles of the eligible outcome-blind SCA3 score distribution within the common-support region. The 10th, 50th, and 90th percentiles define the low, middle, and high H1 contrast points. SCA6 uses the same frozen score transformation and evaluates the portion of this contrast supported by its observed exposure range; unsupported extrapolation is not called transport failure. If a structural zero mass makes the contrast points non-identifiable, the memorandum must freeze an indicator-plus-spline parameterization and corresponding low/middle/high contrast points before outcome access. Outcome-guided knot, quantile, or target-population weight changes are not allowed.</w:t>
      </w:r>
    </w:p>
    <w:p>
      <w:pPr>
        <w:pStyle w:val="Heading3"/>
      </w:pPr>
      <w:r>
        <w:rPr>
          <w:rFonts w:ascii="Times New Roman" w:hAnsi="Times New Roman" w:eastAsia="Times New Roman"/>
          <w:b/>
          <w:color w:val="000000"/>
          <w:sz w:val="20"/>
        </w:rPr>
        <w:t>4.4 Primary event interval</w:t>
      </w:r>
    </w:p>
    <w:p>
      <w:pPr>
        <w:keepLines w:val="0"/>
        <w:jc w:val="both"/>
      </w:pPr>
      <w:r>
        <w:rPr>
          <w:rFonts w:ascii="Times New Roman" w:hAnsi="Times New Roman" w:eastAsia="Times New Roman"/>
          <w:b w:val="0"/>
          <w:color w:val="000000"/>
          <w:sz w:val="20"/>
        </w:rPr>
        <w:t xml:space="preserve">The primary event is the sustained adjudicated phenoconversion composite in the protocol. For participant </w:t>
      </w:r>
      <m:oMath>
        <m:r>
          <m:rPr>
            <m:nor/>
          </m:rPr>
          <m:t>i</m:t>
        </m:r>
      </m:oMath>
      <w:r>
        <w:rPr>
          <w:rFonts w:ascii="Times New Roman" w:hAnsi="Times New Roman" w:eastAsia="Times New Roman"/>
          <w:b w:val="0"/>
          <w:color w:val="000000"/>
          <w:sz w:val="20"/>
        </w:rPr>
        <w:t>:</w:t>
      </w:r>
    </w:p>
    <w:p>
      <w:pPr>
        <w:spacing w:after="60" w:line="276" w:lineRule="auto"/>
        <w:ind w:left="360" w:hanging="259"/>
      </w:pPr>
      <w:r>
        <w:rPr>
          <w:rFonts w:ascii="Times New Roman" w:hAnsi="Times New Roman" w:eastAsia="Times New Roman"/>
          <w:color w:val="000000"/>
          <w:sz w:val="20"/>
        </w:rPr>
        <w:t xml:space="preserve">• </w:t>
      </w:r>
      <m:oMath>
        <m:sSub>
          <m:e>
            <m:r>
              <m:rPr>
                <m:nor/>
              </m:rPr>
              <m:t>A0</m:t>
            </m:r>
          </m:e>
          <m:sub>
            <m:r>
              <m:rPr>
                <m:nor/>
              </m:rPr>
              <m:t>i</m:t>
            </m:r>
          </m:sub>
        </m:sSub>
      </m:oMath>
      <w:r>
        <w:rPr>
          <w:rFonts w:ascii="Times New Roman" w:hAnsi="Times New Roman" w:eastAsia="Times New Roman"/>
          <w:b w:val="0"/>
          <w:color w:val="000000"/>
          <w:sz w:val="20"/>
        </w:rPr>
        <w:t xml:space="preserve"> is age at study entry;</w:t>
      </w:r>
    </w:p>
    <w:p>
      <w:pPr>
        <w:spacing w:after="60" w:line="276" w:lineRule="auto"/>
        <w:ind w:left="360" w:hanging="259"/>
      </w:pPr>
      <w:r>
        <w:rPr>
          <w:rFonts w:ascii="Times New Roman" w:hAnsi="Times New Roman" w:eastAsia="Times New Roman"/>
          <w:color w:val="000000"/>
          <w:sz w:val="20"/>
        </w:rPr>
        <w:t xml:space="preserve">• </w:t>
      </w:r>
      <m:oMath>
        <m:sSub>
          <m:e>
            <m:r>
              <m:rPr>
                <m:nor/>
              </m:rPr>
              <m:t>L</m:t>
            </m:r>
          </m:e>
          <m:sub>
            <m:r>
              <m:rPr>
                <m:nor/>
              </m:rPr>
              <m:t>i</m:t>
            </m:r>
          </m:sub>
        </m:sSub>
      </m:oMath>
      <w:r>
        <w:rPr>
          <w:rFonts w:ascii="Times New Roman" w:hAnsi="Times New Roman" w:eastAsia="Times New Roman"/>
          <w:b w:val="0"/>
          <w:color w:val="000000"/>
          <w:sz w:val="20"/>
        </w:rPr>
        <w:t xml:space="preserve"> is age at the last definitely preataxic assessment;</w:t>
      </w:r>
    </w:p>
    <w:p>
      <w:pPr>
        <w:spacing w:after="60" w:line="276" w:lineRule="auto"/>
        <w:ind w:left="360" w:hanging="259"/>
      </w:pPr>
      <w:r>
        <w:rPr>
          <w:rFonts w:ascii="Times New Roman" w:hAnsi="Times New Roman" w:eastAsia="Times New Roman"/>
          <w:color w:val="000000"/>
          <w:sz w:val="20"/>
        </w:rPr>
        <w:t xml:space="preserve">• </w:t>
      </w:r>
      <m:oMath>
        <m:sSub>
          <m:e>
            <m:r>
              <m:rPr>
                <m:nor/>
              </m:rPr>
              <m:t>R</m:t>
            </m:r>
          </m:e>
          <m:sub>
            <m:r>
              <m:rPr>
                <m:nor/>
              </m:rPr>
              <m:t>i</m:t>
            </m:r>
          </m:sub>
        </m:sSub>
      </m:oMath>
      <w:r>
        <w:rPr>
          <w:rFonts w:ascii="Times New Roman" w:hAnsi="Times New Roman" w:eastAsia="Times New Roman"/>
          <w:b w:val="0"/>
          <w:color w:val="000000"/>
          <w:sz w:val="20"/>
        </w:rPr>
        <w:t xml:space="preserve"> is age at the first qualifying manifest assessment;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 xml:space="preserve">a confirmed converter contributes event interval </w:t>
      </w:r>
      <m:oMath>
        <m:r>
          <m:rPr>
            <m:nor/>
          </m:rPr>
          <m:t>(</m:t>
        </m:r>
        <m:sSub>
          <m:e>
            <m:r>
              <m:rPr>
                <m:nor/>
              </m:rPr>
              <m:t>L</m:t>
            </m:r>
          </m:e>
          <m:sub>
            <m:r>
              <m:rPr>
                <m:nor/>
              </m:rPr>
              <m:t>i</m:t>
            </m:r>
          </m:sub>
        </m:sSub>
        <m:r>
          <m:rPr>
            <m:nor/>
          </m:rPr>
          <m:t>,</m:t>
        </m:r>
        <m:r>
          <m:rPr>
            <m:nor/>
          </m:rPr>
          <m:t> </m:t>
        </m:r>
        <m:sSub>
          <m:e>
            <m:r>
              <m:rPr>
                <m:nor/>
              </m:rPr>
              <m:t>R</m:t>
            </m:r>
          </m:e>
          <m:sub>
            <m:r>
              <m:rPr>
                <m:nor/>
              </m:rPr>
              <m:t>i</m:t>
            </m:r>
          </m:sub>
        </m:sSub>
        <m:r>
          <m:rPr>
            <m:nor/>
          </m:rPr>
          <m:t>]</m:t>
        </m:r>
      </m:oMath>
      <w:r>
        <w:rPr>
          <w:rFonts w:ascii="Times New Roman" w:hAnsi="Times New Roman" w:eastAsia="Times New Roman"/>
          <w:b w:val="0"/>
          <w:color w:val="000000"/>
          <w:sz w:val="20"/>
        </w:rPr>
        <w: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 non-converter contributes right-censoring after the last definite assessment;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an event present at the first post-baseline visit is interval-censored between baseline and that visit;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midpoint imputation is not used.</w:t>
      </w:r>
    </w:p>
    <w:p>
      <w:pPr>
        <w:keepLines w:val="0"/>
        <w:jc w:val="both"/>
      </w:pPr>
      <w:r>
        <w:rPr>
          <w:rFonts w:ascii="Times New Roman" w:hAnsi="Times New Roman" w:eastAsia="Times New Roman"/>
          <w:b w:val="0"/>
          <w:color w:val="000000"/>
          <w:sz w:val="20"/>
        </w:rPr>
        <w:t>Death before phenoconversion is a competing event. Date of self-reported historical onset in the early symptomatic stratum is descriptive and does not enter the primary risk set.</w:t>
      </w:r>
    </w:p>
    <w:p>
      <w:pPr>
        <w:pStyle w:val="Heading3"/>
      </w:pPr>
      <w:r>
        <w:rPr>
          <w:rFonts w:ascii="Times New Roman" w:hAnsi="Times New Roman" w:eastAsia="Times New Roman"/>
          <w:b/>
          <w:color w:val="000000"/>
          <w:sz w:val="20"/>
        </w:rPr>
        <w:t>4.5 Outcome direction and scaling</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Higher SARA, NfL, gait variability, nystagmus velocity, FARS-ADL impairment, and PROM-Ataxia impairment represent worse state.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Lower disease-relevant volume, fractional anisotropy, tNAA, and gait stability represent worse state.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Biomarker transformations are frozen after outcome-blind distribution and assay-quality review.</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Standardized effects use the baseline control SD within the prespecified age/sex/site normative model; the raw-unit estimate is always reported.</w:t>
      </w:r>
    </w:p>
    <w:p>
      <w:pPr>
        <w:pStyle w:val="Heading2"/>
      </w:pPr>
      <w:r>
        <w:rPr>
          <w:rFonts w:ascii="Times New Roman" w:hAnsi="Times New Roman" w:eastAsia="Times New Roman"/>
          <w:b/>
          <w:color w:val="000000"/>
          <w:sz w:val="22"/>
        </w:rPr>
        <w:t>5. Estimands</w:t>
      </w:r>
    </w:p>
    <w:p>
      <w:pPr>
        <w:pStyle w:val="Heading3"/>
      </w:pPr>
      <w:r>
        <w:rPr>
          <w:rFonts w:ascii="Times New Roman" w:hAnsi="Times New Roman" w:eastAsia="Times New Roman"/>
          <w:b/>
          <w:color w:val="000000"/>
          <w:sz w:val="20"/>
        </w:rPr>
        <w:t>5.1 H1 estimand: hump contrast</w:t>
      </w:r>
    </w:p>
    <w:p>
      <w:pPr>
        <w:keepLines w:val="0"/>
        <w:jc w:val="both"/>
      </w:pPr>
      <w:r>
        <w:rPr>
          <w:rFonts w:ascii="Times New Roman" w:hAnsi="Times New Roman" w:eastAsia="Times New Roman"/>
          <w:b w:val="0"/>
          <w:color w:val="000000"/>
          <w:sz w:val="20"/>
        </w:rPr>
        <w:t xml:space="preserve">Let </w:t>
      </w:r>
      <m:oMath>
        <m:sSub>
          <m:e>
            <m:r>
              <m:rPr>
                <m:nor/>
              </m:rPr>
              <m:t>f</m:t>
            </m:r>
          </m:e>
          <m:sub>
            <m:r>
              <m:rPr>
                <m:nor/>
              </m:rPr>
              <m:t>3</m:t>
            </m:r>
          </m:sub>
        </m:sSub>
        <m:r>
          <m:rPr>
            <m:nor/>
          </m:rPr>
          <m:t>(</m:t>
        </m:r>
        <m:r>
          <m:rPr>
            <m:nor/>
          </m:rPr>
          <m:t>S</m:t>
        </m:r>
        <m:r>
          <m:rPr>
            <m:nor/>
          </m:rPr>
          <m:t>)</m:t>
        </m:r>
      </m:oMath>
      <w:r>
        <w:rPr>
          <w:rFonts w:ascii="Times New Roman" w:hAnsi="Times New Roman" w:eastAsia="Times New Roman"/>
          <w:b w:val="0"/>
          <w:color w:val="000000"/>
          <w:sz w:val="20"/>
        </w:rPr>
        <w:t xml:space="preserve"> and </w:t>
      </w:r>
      <m:oMath>
        <m:sSub>
          <m:e>
            <m:r>
              <m:rPr>
                <m:nor/>
              </m:rPr>
              <m:t>f</m:t>
            </m:r>
          </m:e>
          <m:sub>
            <m:r>
              <m:rPr>
                <m:nor/>
              </m:rPr>
              <m:t>6</m:t>
            </m:r>
          </m:sub>
        </m:sSub>
        <m:r>
          <m:rPr>
            <m:nor/>
          </m:rPr>
          <m:t>(</m:t>
        </m:r>
        <m:r>
          <m:rPr>
            <m:nor/>
          </m:rPr>
          <m:t>S</m:t>
        </m:r>
        <m:r>
          <m:rPr>
            <m:nor/>
          </m:rPr>
          <m:t>)</m:t>
        </m:r>
      </m:oMath>
      <w:r>
        <w:rPr>
          <w:rFonts w:ascii="Times New Roman" w:hAnsi="Times New Roman" w:eastAsia="Times New Roman"/>
          <w:b w:val="0"/>
          <w:color w:val="000000"/>
          <w:sz w:val="20"/>
        </w:rPr>
        <w:t xml:space="preserve"> denote the SCA3 and SCA6 score contributions to the log cause-specific phenoconversion hazard in the primary restricted-cubic-spline model. For genotype </w:t>
      </w:r>
      <m:oMath>
        <m:r>
          <m:rPr>
            <m:nor/>
          </m:rPr>
          <m:t>g</m:t>
        </m:r>
      </m:oMath>
      <w:r>
        <w:rPr>
          <w:rFonts w:ascii="Times New Roman" w:hAnsi="Times New Roman" w:eastAsia="Times New Roman"/>
          <w:b w:val="0"/>
          <w:color w:val="000000"/>
          <w:sz w:val="20"/>
        </w:rPr>
        <w:t>, define:</w:t>
      </w:r>
    </w:p>
    <w:p>
      <w:pPr>
        <w:keepLines/>
        <w:spacing w:before="80" w:after="120"/>
        <w:jc w:val="center"/>
      </w:pPr>
      <m:oMath>
        <m:sSub>
          <m:e>
            <m:r>
              <m:rPr>
                <m:nor/>
              </m:rPr>
              <m:t>Δ</m:t>
            </m:r>
          </m:e>
          <m:sub>
            <m:r>
              <m:rPr>
                <m:nor/>
              </m:rPr>
              <m:t>hump</m:t>
            </m:r>
            <m:r>
              <m:rPr>
                <m:nor/>
              </m:rPr>
              <m:t>,</m:t>
            </m:r>
            <m:r>
              <m:rPr>
                <m:nor/>
              </m:rPr>
              <m:t>g</m:t>
            </m:r>
          </m:sub>
        </m:sSub>
        <m:r>
          <m:rPr>
            <m:nor/>
          </m:rPr>
          <m:t> </m:t>
        </m:r>
        <m:r>
          <m:rPr>
            <m:nor/>
          </m:rPr>
          <m:t>=</m:t>
        </m:r>
        <m:sSub>
          <m:e>
            <m:r>
              <m:rPr>
                <m:nor/>
              </m:rPr>
              <m:t>f</m:t>
            </m:r>
          </m:e>
          <m:sub>
            <m:r>
              <m:rPr>
                <m:nor/>
              </m:rPr>
              <m:t>g</m:t>
            </m:r>
          </m:sub>
        </m:sSub>
        <m:r>
          <m:rPr>
            <m:nor/>
          </m:rPr>
          <m:t>(</m:t>
        </m:r>
        <m:sSub>
          <m:e>
            <m:r>
              <m:rPr>
                <m:nor/>
              </m:rPr>
              <m:t>Q</m:t>
            </m:r>
          </m:e>
          <m:sub>
            <m:r>
              <m:rPr>
                <m:nor/>
              </m:rPr>
              <m:t>50</m:t>
            </m:r>
          </m:sub>
        </m:sSub>
        <m:r>
          <m:rPr>
            <m:nor/>
          </m:rPr>
          <m:t>)</m:t>
        </m:r>
        <m:r>
          <m:rPr>
            <m:nor/>
          </m:rPr>
          <m:t>-</m:t>
        </m:r>
        <m:r>
          <m:rPr>
            <m:nor/>
          </m:rPr>
          <m:t> </m:t>
        </m:r>
        <m:f>
          <m:num>
            <m:sSub>
              <m:e>
                <m:r>
                  <m:rPr>
                    <m:nor/>
                  </m:rPr>
                  <m:t>f</m:t>
                </m:r>
              </m:e>
              <m:sub>
                <m:r>
                  <m:rPr>
                    <m:nor/>
                  </m:rPr>
                  <m:t>g</m:t>
                </m:r>
              </m:sub>
            </m:sSub>
            <m:r>
              <m:rPr>
                <m:nor/>
              </m:rPr>
              <m:t>(</m:t>
            </m:r>
            <m:sSub>
              <m:e>
                <m:r>
                  <m:rPr>
                    <m:nor/>
                  </m:rPr>
                  <m:t>Q</m:t>
                </m:r>
              </m:e>
              <m:sub>
                <m:r>
                  <m:rPr>
                    <m:nor/>
                  </m:rPr>
                  <m:t>10</m:t>
                </m:r>
              </m:sub>
            </m:sSub>
            <m:r>
              <m:rPr>
                <m:nor/>
              </m:rPr>
              <m:t>)</m:t>
            </m:r>
            <m:r>
              <m:rPr>
                <m:nor/>
              </m:rPr>
              <m:t>+</m:t>
            </m:r>
            <m:sSub>
              <m:e>
                <m:r>
                  <m:rPr>
                    <m:nor/>
                  </m:rPr>
                  <m:t>f</m:t>
                </m:r>
              </m:e>
              <m:sub>
                <m:r>
                  <m:rPr>
                    <m:nor/>
                  </m:rPr>
                  <m:t>g</m:t>
                </m:r>
              </m:sub>
            </m:sSub>
            <m:r>
              <m:rPr>
                <m:nor/>
              </m:rPr>
              <m:t>(</m:t>
            </m:r>
            <m:sSub>
              <m:e>
                <m:r>
                  <m:rPr>
                    <m:nor/>
                  </m:rPr>
                  <m:t>Q</m:t>
                </m:r>
              </m:e>
              <m:sub>
                <m:r>
                  <m:rPr>
                    <m:nor/>
                  </m:rPr>
                  <m:t>90</m:t>
                </m:r>
              </m:sub>
            </m:sSub>
            <m:r>
              <m:rPr>
                <m:nor/>
              </m:rPr>
              <m:t>)</m:t>
            </m:r>
          </m:num>
          <m:den>
            <m:r>
              <m:rPr>
                <m:nor/>
              </m:rPr>
              <m:t>2</m:t>
            </m:r>
          </m:den>
        </m:f>
        <m:r>
          <m:rPr>
            <m:nor/>
          </m:rPr>
          <m:t>.</m:t>
        </m:r>
      </m:oMath>
    </w:p>
    <w:p>
      <w:pPr>
        <w:keepLines w:val="0"/>
        <w:jc w:val="both"/>
      </w:pPr>
      <w:r>
        <w:rPr>
          <w:rFonts w:ascii="Times New Roman" w:hAnsi="Times New Roman" w:eastAsia="Times New Roman"/>
          <w:b w:val="0"/>
          <w:color w:val="000000"/>
          <w:sz w:val="20"/>
        </w:rPr>
        <w:t>The primary H1 estimand is the frozen SCA3 contrast:</w:t>
      </w:r>
    </w:p>
    <w:p>
      <w:pPr>
        <w:keepLines/>
        <w:spacing w:before="80" w:after="120"/>
        <w:jc w:val="center"/>
      </w:pPr>
      <m:oMath>
        <m:sSub>
          <m:e>
            <m:r>
              <m:rPr>
                <m:nor/>
              </m:rPr>
              <m:t>Δ</m:t>
            </m:r>
          </m:e>
          <m:sub>
            <m:r>
              <m:rPr>
                <m:nor/>
              </m:rPr>
              <m:t>H1</m:t>
            </m:r>
          </m:sub>
        </m:sSub>
        <m:r>
          <m:rPr>
            <m:nor/>
          </m:rPr>
          <m:t>=</m:t>
        </m:r>
        <m:sSub>
          <m:e>
            <m:r>
              <m:rPr>
                <m:nor/>
              </m:rPr>
              <m:t>Δ</m:t>
            </m:r>
          </m:e>
          <m:sub>
            <m:r>
              <m:rPr>
                <m:nor/>
              </m:rPr>
              <m:t>hump</m:t>
            </m:r>
            <m:r>
              <m:rPr>
                <m:nor/>
              </m:rPr>
              <m:t>,</m:t>
            </m:r>
            <m:r>
              <m:rPr>
                <m:nor/>
              </m:rPr>
              <m:t>3</m:t>
            </m:r>
          </m:sub>
        </m:sSub>
        <m:r>
          <m:rPr>
            <m:nor/>
          </m:rPr>
          <m:t>.</m:t>
        </m:r>
      </m:oMath>
    </w:p>
    <w:p>
      <w:pPr>
        <w:keepLines w:val="0"/>
        <w:jc w:val="both"/>
      </w:pPr>
      <w:r>
        <w:rPr>
          <w:rFonts w:ascii="Times New Roman" w:hAnsi="Times New Roman" w:eastAsia="Times New Roman"/>
          <w:b w:val="0"/>
          <w:color w:val="000000"/>
          <w:sz w:val="20"/>
        </w:rPr>
        <w:t xml:space="preserve">The null is </w:t>
      </w:r>
      <m:oMath>
        <m:sSub>
          <m:e>
            <m:r>
              <m:rPr>
                <m:nor/>
              </m:rPr>
              <m:t>Δ</m:t>
            </m:r>
          </m:e>
          <m:sub>
            <m:r>
              <m:rPr>
                <m:nor/>
              </m:rPr>
              <m:t>H1</m:t>
            </m:r>
          </m:sub>
        </m:sSub>
        <m:r>
          <m:rPr>
            <m:nor/>
          </m:rPr>
          <m:t> </m:t>
        </m:r>
        <m:r>
          <m:rPr>
            <m:nor/>
          </m:rPr>
          <m:t>=</m:t>
        </m:r>
        <m:r>
          <m:rPr>
            <m:nor/>
          </m:rPr>
          <m:t> </m:t>
        </m:r>
        <m:r>
          <m:rPr>
            <m:nor/>
          </m:rPr>
          <m:t>0</m:t>
        </m:r>
      </m:oMath>
      <w:r>
        <w:rPr>
          <w:rFonts w:ascii="Times New Roman" w:hAnsi="Times New Roman" w:eastAsia="Times New Roman"/>
          <w:b w:val="0"/>
          <w:color w:val="000000"/>
          <w:sz w:val="20"/>
        </w:rPr>
        <w:t>; the registered test is a two-sided, family-cluster-bootstrap-calibrated Wald test. Its raw bootstrap-calibrated p value enters Holm. Support for the predicted hump additionally requires:</w:t>
      </w:r>
    </w:p>
    <w:p>
      <w:pPr>
        <w:spacing w:after="60" w:line="276" w:lineRule="auto"/>
        <w:ind w:left="360" w:hanging="259"/>
      </w:pPr>
      <w:r>
        <w:rPr>
          <w:rFonts w:ascii="Times New Roman" w:hAnsi="Times New Roman" w:eastAsia="Times New Roman"/>
          <w:color w:val="000000"/>
          <w:sz w:val="20"/>
        </w:rPr>
        <w:t xml:space="preserve">• </w:t>
      </w:r>
      <m:oMath>
        <m:sSub>
          <m:e>
            <m:r>
              <m:rPr>
                <m:nor/>
              </m:rPr>
              <m:t>Δ</m:t>
            </m:r>
          </m:e>
          <m:sub>
            <m:r>
              <m:rPr>
                <m:nor/>
              </m:rPr>
              <m:t>H1</m:t>
            </m:r>
          </m:sub>
        </m:sSub>
        <m:r>
          <m:rPr>
            <m:nor/>
          </m:rPr>
          <m:t> </m:t>
        </m:r>
        <m:r>
          <m:rPr>
            <m:nor/>
          </m:rPr>
          <m:t>&gt;</m:t>
        </m:r>
        <m:r>
          <m:rPr>
            <m:nor/>
          </m:rPr>
          <m:t> </m:t>
        </m:r>
        <m:r>
          <m:rPr>
            <m:nor/>
          </m:rPr>
          <m:t>0</m:t>
        </m:r>
      </m:oMath>
      <w:r>
        <w:rPr>
          <w:rFonts w:ascii="Times New Roman" w:hAnsi="Times New Roman" w:eastAsia="Times New Roman"/>
          <w:b w:val="0"/>
          <w:color w:val="000000"/>
          <w:sz w:val="20"/>
        </w:rPr>
        <w: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 xml:space="preserve">both SCA3 side contrasts, </w:t>
      </w:r>
      <m:oMath>
        <m:sSub>
          <m:e>
            <m:r>
              <m:rPr>
                <m:nor/>
              </m:rPr>
              <m:t>f</m:t>
            </m:r>
          </m:e>
          <m:sub>
            <m:r>
              <m:rPr>
                <m:nor/>
              </m:rPr>
              <m:t>3</m:t>
            </m:r>
          </m:sub>
        </m:sSub>
        <m:r>
          <m:rPr>
            <m:nor/>
          </m:rPr>
          <m:t>(</m:t>
        </m:r>
        <m:r>
          <m:rPr>
            <m:nor/>
          </m:rPr>
          <m:t>Q50</m:t>
        </m:r>
        <m:r>
          <m:rPr>
            <m:nor/>
          </m:rPr>
          <m:t>)</m:t>
        </m:r>
        <m:r>
          <m:rPr>
            <m:nor/>
          </m:rPr>
          <m:t>-</m:t>
        </m:r>
        <m:sSub>
          <m:e>
            <m:r>
              <m:rPr>
                <m:nor/>
              </m:rPr>
              <m:t>f</m:t>
            </m:r>
          </m:e>
          <m:sub>
            <m:r>
              <m:rPr>
                <m:nor/>
              </m:rPr>
              <m:t>3</m:t>
            </m:r>
          </m:sub>
        </m:sSub>
        <m:r>
          <m:rPr>
            <m:nor/>
          </m:rPr>
          <m:t>(</m:t>
        </m:r>
        <m:r>
          <m:rPr>
            <m:nor/>
          </m:rPr>
          <m:t>Q10</m:t>
        </m:r>
        <m:r>
          <m:rPr>
            <m:nor/>
          </m:rPr>
          <m:t>)</m:t>
        </m:r>
      </m:oMath>
      <w:r>
        <w:rPr>
          <w:rFonts w:ascii="Times New Roman" w:hAnsi="Times New Roman" w:eastAsia="Times New Roman"/>
          <w:b w:val="0"/>
          <w:color w:val="000000"/>
          <w:sz w:val="20"/>
        </w:rPr>
        <w:t xml:space="preserve"> and </w:t>
      </w:r>
      <m:oMath>
        <m:sSub>
          <m:e>
            <m:r>
              <m:rPr>
                <m:nor/>
              </m:rPr>
              <m:t>f</m:t>
            </m:r>
          </m:e>
          <m:sub>
            <m:r>
              <m:rPr>
                <m:nor/>
              </m:rPr>
              <m:t>3</m:t>
            </m:r>
          </m:sub>
        </m:sSub>
        <m:r>
          <m:rPr>
            <m:nor/>
          </m:rPr>
          <m:t>(</m:t>
        </m:r>
        <m:r>
          <m:rPr>
            <m:nor/>
          </m:rPr>
          <m:t>Q50</m:t>
        </m:r>
        <m:r>
          <m:rPr>
            <m:nor/>
          </m:rPr>
          <m:t>)</m:t>
        </m:r>
        <m:r>
          <m:rPr>
            <m:nor/>
          </m:rPr>
          <m:t>-</m:t>
        </m:r>
        <m:sSub>
          <m:e>
            <m:r>
              <m:rPr>
                <m:nor/>
              </m:rPr>
              <m:t>f</m:t>
            </m:r>
          </m:e>
          <m:sub>
            <m:r>
              <m:rPr>
                <m:nor/>
              </m:rPr>
              <m:t>3</m:t>
            </m:r>
          </m:sub>
        </m:sSub>
        <m:r>
          <m:rPr>
            <m:nor/>
          </m:rPr>
          <m:t>(</m:t>
        </m:r>
        <m:r>
          <m:rPr>
            <m:nor/>
          </m:rPr>
          <m:t>Q90</m:t>
        </m:r>
        <m:r>
          <m:rPr>
            <m:nor/>
          </m:rPr>
          <m:t>)</m:t>
        </m:r>
      </m:oMath>
      <w:r>
        <w:rPr>
          <w:rFonts w:ascii="Times New Roman" w:hAnsi="Times New Roman" w:eastAsia="Times New Roman"/>
          <w:b w:val="0"/>
          <w:color w:val="000000"/>
          <w:sz w:val="20"/>
        </w:rPr>
        <w:t>, have lower bounds above zero in a 95% simultaneous max-t family-cluster-bootstrap confidence set;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 xml:space="preserve">the maximum of </w:t>
      </w:r>
      <m:oMath>
        <m:sSub>
          <m:e>
            <m:r>
              <m:rPr>
                <m:nor/>
              </m:rPr>
              <m:t>f</m:t>
            </m:r>
          </m:e>
          <m:sub>
            <m:r>
              <m:rPr>
                <m:nor/>
              </m:rPr>
              <m:t>3</m:t>
            </m:r>
          </m:sub>
        </m:sSub>
        <m:r>
          <m:rPr>
            <m:nor/>
          </m:rPr>
          <m:t>(</m:t>
        </m:r>
        <m:r>
          <m:rPr>
            <m:nor/>
          </m:rPr>
          <m:t>E</m:t>
        </m:r>
        <m:r>
          <m:rPr>
            <m:nor/>
          </m:rPr>
          <m:t>)</m:t>
        </m:r>
      </m:oMath>
      <w:r>
        <w:rPr>
          <w:rFonts w:ascii="Times New Roman" w:hAnsi="Times New Roman" w:eastAsia="Times New Roman"/>
          <w:b w:val="0"/>
          <w:color w:val="000000"/>
          <w:sz w:val="20"/>
        </w:rPr>
        <w:t xml:space="preserve"> over </w:t>
      </w:r>
      <m:oMath>
        <m:r>
          <m:rPr>
            <m:nor/>
          </m:rPr>
          <m:t>[</m:t>
        </m:r>
        <m:r>
          <m:rPr>
            <m:nor/>
          </m:rPr>
          <m:t>Q10</m:t>
        </m:r>
        <m:r>
          <m:rPr>
            <m:nor/>
          </m:rPr>
          <m:t>,</m:t>
        </m:r>
        <m:r>
          <m:rPr>
            <m:nor/>
          </m:rPr>
          <m:t>Q90</m:t>
        </m:r>
        <m:r>
          <m:rPr>
            <m:nor/>
          </m:rPr>
          <m:t>]</m:t>
        </m:r>
      </m:oMath>
      <w:r>
        <w:rPr>
          <w:rFonts w:ascii="Times New Roman" w:hAnsi="Times New Roman" w:eastAsia="Times New Roman"/>
          <w:b w:val="0"/>
          <w:color w:val="000000"/>
          <w:sz w:val="20"/>
        </w:rPr>
        <w:t xml:space="preserve"> lies in the frozen middle region </w:t>
      </w:r>
      <m:oMath>
        <m:r>
          <m:rPr>
            <m:nor/>
          </m:rPr>
          <m:t>[</m:t>
        </m:r>
        <m:r>
          <m:rPr>
            <m:nor/>
          </m:rPr>
          <m:t>Q35</m:t>
        </m:r>
        <m:r>
          <m:rPr>
            <m:nor/>
          </m:rPr>
          <m:t>,</m:t>
        </m:r>
        <m:r>
          <m:rPr>
            <m:nor/>
          </m:rPr>
          <m:t>Q65</m:t>
        </m:r>
        <m:r>
          <m:rPr>
            <m:nor/>
          </m:rPr>
          <m:t>]</m:t>
        </m:r>
      </m:oMath>
      <w:r>
        <w:rPr>
          <w:rFonts w:ascii="Times New Roman" w:hAnsi="Times New Roman" w:eastAsia="Times New Roman"/>
          <w:b w:val="0"/>
          <w:color w:val="000000"/>
          <w:sz w:val="20"/>
        </w:rPr>
        <w:t>;</w:t>
      </w:r>
    </w:p>
    <w:p>
      <w:pPr>
        <w:spacing w:after="60" w:line="276" w:lineRule="auto"/>
        <w:ind w:left="360" w:hanging="259"/>
      </w:pPr>
      <w:r>
        <w:rPr>
          <w:rFonts w:ascii="Times New Roman" w:hAnsi="Times New Roman" w:eastAsia="Times New Roman"/>
          <w:color w:val="000000"/>
          <w:sz w:val="20"/>
        </w:rPr>
        <w:t xml:space="preserve">• </w:t>
      </w:r>
      <m:oMath>
        <m:r>
          <m:rPr>
            <m:nor/>
          </m:rPr>
          <m:t>Q10</m:t>
        </m:r>
      </m:oMath>
      <w:r>
        <w:rPr>
          <w:rFonts w:ascii="Times New Roman" w:hAnsi="Times New Roman" w:eastAsia="Times New Roman"/>
          <w:b w:val="0"/>
          <w:color w:val="000000"/>
          <w:sz w:val="20"/>
        </w:rPr>
        <w:t xml:space="preserve">, </w:t>
      </w:r>
      <m:oMath>
        <m:r>
          <m:rPr>
            <m:nor/>
          </m:rPr>
          <m:t>Q50</m:t>
        </m:r>
      </m:oMath>
      <w:r>
        <w:rPr>
          <w:rFonts w:ascii="Times New Roman" w:hAnsi="Times New Roman" w:eastAsia="Times New Roman"/>
          <w:b w:val="0"/>
          <w:color w:val="000000"/>
          <w:sz w:val="20"/>
        </w:rPr>
        <w:t xml:space="preserve">, and </w:t>
      </w:r>
      <m:oMath>
        <m:r>
          <m:rPr>
            <m:nor/>
          </m:rPr>
          <m:t>Q90</m:t>
        </m:r>
      </m:oMath>
      <w:r>
        <w:rPr>
          <w:rFonts w:ascii="Times New Roman" w:hAnsi="Times New Roman" w:eastAsia="Times New Roman"/>
          <w:b w:val="0"/>
          <w:color w:val="000000"/>
          <w:sz w:val="20"/>
        </w:rPr>
        <w:t xml:space="preserve"> satisfy the exposure-support gate in SCA3.</w:t>
      </w:r>
    </w:p>
    <w:p>
      <w:pPr>
        <w:keepLines w:val="0"/>
        <w:jc w:val="both"/>
      </w:pPr>
      <w:r>
        <w:rPr>
          <w:rFonts w:ascii="Times New Roman" w:hAnsi="Times New Roman" w:eastAsia="Times New Roman"/>
          <w:b w:val="0"/>
          <w:color w:val="000000"/>
          <w:sz w:val="20"/>
        </w:rPr>
        <w:t>The side contrasts and peak-location rule are directional interpretation requirements, not opportunities to select a different primary p value. A global two-degree-of-freedom test of non-linear spline components is reported as supportive.</w:t>
      </w:r>
    </w:p>
    <w:p>
      <w:pPr>
        <w:pStyle w:val="Heading3"/>
      </w:pPr>
      <w:r>
        <w:rPr>
          <w:rFonts w:ascii="Times New Roman" w:hAnsi="Times New Roman" w:eastAsia="Times New Roman"/>
          <w:b/>
          <w:color w:val="000000"/>
          <w:sz w:val="20"/>
        </w:rPr>
        <w:t>5.2 H2 estimand: genotype-by-exposure interaction</w:t>
      </w:r>
    </w:p>
    <w:p>
      <w:pPr>
        <w:keepLines w:val="0"/>
        <w:jc w:val="both"/>
      </w:pPr>
      <w:r>
        <w:rPr>
          <w:rFonts w:ascii="Times New Roman" w:hAnsi="Times New Roman" w:eastAsia="Times New Roman"/>
          <w:b w:val="0"/>
          <w:color w:val="000000"/>
          <w:sz w:val="20"/>
        </w:rPr>
        <w:t>H2 is the global difference between SCA3 and SCA6 exposure curves, tested by the three-degree-of-freedom interaction between genotype and all spline basis terms. The primary raw H2 p value comes from a joint three-degree-of-freedom robust Wald test calibrated by the family-cluster bootstrap and enters Holm. A conventional chi-square likelihood-ratio test is not used because inverse sampling weights create a pseudo-likelihood and family clustering violates its standard calibration.</w:t>
      </w:r>
    </w:p>
    <w:p>
      <w:pPr>
        <w:keepLines w:val="0"/>
        <w:jc w:val="both"/>
      </w:pPr>
      <w:r>
        <w:rPr>
          <w:rFonts w:ascii="Times New Roman" w:hAnsi="Times New Roman" w:eastAsia="Times New Roman"/>
          <w:b w:val="0"/>
          <w:color w:val="000000"/>
          <w:sz w:val="20"/>
        </w:rPr>
        <w:t>The interaction contrast:</w:t>
      </w:r>
    </w:p>
    <w:p>
      <w:pPr>
        <w:keepLines/>
        <w:spacing w:before="80" w:after="120"/>
        <w:jc w:val="center"/>
      </w:pPr>
      <m:oMath>
        <m:sSub>
          <m:e>
            <m:r>
              <m:rPr>
                <m:nor/>
              </m:rPr>
              <m:t>Δ</m:t>
            </m:r>
          </m:e>
          <m:sub>
            <m:r>
              <m:rPr>
                <m:nor/>
              </m:rPr>
              <m:t>G</m:t>
            </m:r>
            <m:r>
              <m:rPr>
                <m:nor/>
              </m:rPr>
              <m:t>×</m:t>
            </m:r>
            <m:r>
              <m:rPr>
                <m:nor/>
              </m:rPr>
              <m:t> </m:t>
            </m:r>
            <m:r>
              <m:rPr>
                <m:nor/>
              </m:rPr>
              <m:t>E</m:t>
            </m:r>
          </m:sub>
        </m:sSub>
        <m:r>
          <m:rPr>
            <m:nor/>
          </m:rPr>
          <m:t> </m:t>
        </m:r>
        <m:r>
          <m:rPr>
            <m:nor/>
          </m:rPr>
          <m:t>=</m:t>
        </m:r>
        <m:sSub>
          <m:e>
            <m:r>
              <m:rPr>
                <m:nor/>
              </m:rPr>
              <m:t>Δ</m:t>
            </m:r>
          </m:e>
          <m:sub>
            <m:r>
              <m:rPr>
                <m:nor/>
              </m:rPr>
              <m:t>hump</m:t>
            </m:r>
            <m:r>
              <m:rPr>
                <m:nor/>
              </m:rPr>
              <m:t>,</m:t>
            </m:r>
            <m:r>
              <m:rPr>
                <m:nor/>
              </m:rPr>
              <m:t>6</m:t>
            </m:r>
          </m:sub>
        </m:sSub>
        <m:r>
          <m:rPr>
            <m:nor/>
          </m:rPr>
          <m:t>-</m:t>
        </m:r>
        <m:sSub>
          <m:e>
            <m:r>
              <m:rPr>
                <m:nor/>
              </m:rPr>
              <m:t>Δ</m:t>
            </m:r>
          </m:e>
          <m:sub>
            <m:r>
              <m:rPr>
                <m:nor/>
              </m:rPr>
              <m:t>hump</m:t>
            </m:r>
            <m:r>
              <m:rPr>
                <m:nor/>
              </m:rPr>
              <m:t>,</m:t>
            </m:r>
            <m:r>
              <m:rPr>
                <m:nor/>
              </m:rPr>
              <m:t>3</m:t>
            </m:r>
          </m:sub>
        </m:sSub>
      </m:oMath>
    </w:p>
    <w:p>
      <w:pPr>
        <w:keepLines w:val="0"/>
        <w:jc w:val="both"/>
      </w:pPr>
      <w:r>
        <w:rPr>
          <w:rFonts w:ascii="Times New Roman" w:hAnsi="Times New Roman" w:eastAsia="Times New Roman"/>
          <w:b w:val="0"/>
          <w:color w:val="000000"/>
          <w:sz w:val="20"/>
        </w:rPr>
        <w:t>and genotype-specific curves are reported with simultaneous confidence intervals. Centred expanded-repeat-by-spline interactions within genotype are secondary and are not substitutes for H2.</w:t>
      </w:r>
    </w:p>
    <w:p>
      <w:pPr>
        <w:pStyle w:val="Heading3"/>
      </w:pPr>
      <w:r>
        <w:rPr>
          <w:rFonts w:ascii="Times New Roman" w:hAnsi="Times New Roman" w:eastAsia="Times New Roman"/>
          <w:b/>
          <w:color w:val="000000"/>
          <w:sz w:val="20"/>
        </w:rPr>
        <w:t>5.3 Longitudinal estimands</w:t>
      </w:r>
    </w:p>
    <w:p>
      <w:pPr>
        <w:keepLines w:val="0"/>
        <w:jc w:val="both"/>
      </w:pPr>
      <w:r>
        <w:rPr>
          <w:rFonts w:ascii="Times New Roman" w:hAnsi="Times New Roman" w:eastAsia="Times New Roman"/>
          <w:b w:val="0"/>
          <w:color w:val="000000"/>
          <w:sz w:val="20"/>
        </w:rPr>
        <w:t xml:space="preserve">For each repeated outcome, the key estimand is the adjusted difference in annual outcome change per one-SD higher </w:t>
      </w:r>
      <m:oMath>
        <m:r>
          <m:rPr>
            <m:nor/>
          </m:rPr>
          <m:t>S</m:t>
        </m:r>
        <m:r>
          <m:rPr>
            <m:nor/>
          </m:rPr>
          <m:t>*</m:t>
        </m:r>
      </m:oMath>
      <w:r>
        <w:rPr>
          <w:rFonts w:ascii="Times New Roman" w:hAnsi="Times New Roman" w:eastAsia="Times New Roman"/>
          <w:b w:val="0"/>
          <w:color w:val="000000"/>
          <w:sz w:val="20"/>
        </w:rPr>
        <w:t xml:space="preserve">, </w:t>
      </w:r>
      <m:oMath>
        <m:sSub>
          <m:e>
            <m:r>
              <m:rPr>
                <m:nor/>
              </m:rPr>
              <m:t>β</m:t>
            </m:r>
          </m:e>
          <m:sub>
            <m:r>
              <m:rPr>
                <m:nor/>
              </m:rPr>
              <m:t>S</m:t>
            </m:r>
          </m:sub>
        </m:sSub>
        <m:r>
          <m:rPr>
            <m:nor/>
          </m:rPr>
          <m:t>×</m:t>
        </m:r>
        <m:r>
          <m:rPr>
            <m:nor/>
          </m:rPr>
          <m:t>time</m:t>
        </m:r>
      </m:oMath>
      <w:r>
        <w:rPr>
          <w:rFonts w:ascii="Times New Roman" w:hAnsi="Times New Roman" w:eastAsia="Times New Roman"/>
          <w:b w:val="0"/>
          <w:color w:val="000000"/>
          <w:sz w:val="20"/>
        </w:rPr>
        <w:t xml:space="preserve">, with genotype-specific estimates and an </w:t>
      </w:r>
      <m:oMath>
        <m:r>
          <m:rPr>
            <m:nor/>
          </m:rPr>
          <m:t>S</m:t>
        </m:r>
        <m:r>
          <m:rPr>
            <m:nor/>
          </m:rPr>
          <m:t>*</m:t>
        </m:r>
      </m:oMath>
      <w:r>
        <w:rPr>
          <w:rFonts w:ascii="Times New Roman" w:hAnsi="Times New Roman" w:eastAsia="Times New Roman"/>
          <w:b w:val="0"/>
          <w:color w:val="000000"/>
          <w:sz w:val="20"/>
        </w:rPr>
        <w:t xml:space="preserve"> spline-by-time analysis as supportive. Raw-unit </w:t>
      </w:r>
      <m:oMath>
        <m:r>
          <m:rPr>
            <m:nor/>
          </m:rPr>
          <m:t>E</m:t>
        </m:r>
        <m:r>
          <m:rPr>
            <m:nor/>
          </m:rPr>
          <m:t>*</m:t>
        </m:r>
      </m:oMath>
      <w:r>
        <w:rPr>
          <w:rFonts w:ascii="Times New Roman" w:hAnsi="Times New Roman" w:eastAsia="Times New Roman"/>
          <w:b w:val="0"/>
          <w:color w:val="000000"/>
          <w:sz w:val="20"/>
        </w:rPr>
        <w:t xml:space="preserve"> and standardized </w:t>
      </w:r>
      <m:oMath>
        <m:r>
          <m:rPr>
            <m:nor/>
          </m:rPr>
          <m:t>S</m:t>
        </m:r>
        <m:r>
          <m:rPr>
            <m:nor/>
          </m:rPr>
          <m:t>*</m:t>
        </m:r>
      </m:oMath>
      <w:r>
        <w:rPr>
          <w:rFonts w:ascii="Times New Roman" w:hAnsi="Times New Roman" w:eastAsia="Times New Roman"/>
          <w:b w:val="0"/>
          <w:color w:val="000000"/>
          <w:sz w:val="20"/>
        </w:rPr>
        <w:t xml:space="preserve"> estimates are reported at years 1, 3, and 5.</w:t>
      </w:r>
    </w:p>
    <w:p>
      <w:pPr>
        <w:pStyle w:val="Heading3"/>
      </w:pPr>
      <w:r>
        <w:rPr>
          <w:rFonts w:ascii="Times New Roman" w:hAnsi="Times New Roman" w:eastAsia="Times New Roman"/>
          <w:b/>
          <w:color w:val="000000"/>
          <w:sz w:val="20"/>
        </w:rPr>
        <w:t>5.4 Temporal biomarker estimand</w:t>
      </w:r>
    </w:p>
    <w:p>
      <w:pPr>
        <w:keepLines w:val="0"/>
        <w:jc w:val="both"/>
      </w:pPr>
      <w:r>
        <w:rPr>
          <w:rFonts w:ascii="Times New Roman" w:hAnsi="Times New Roman" w:eastAsia="Times New Roman"/>
          <w:b w:val="0"/>
          <w:color w:val="000000"/>
          <w:sz w:val="20"/>
        </w:rPr>
        <w:t xml:space="preserve">Among participants event-free through month 12, the landmark estimand is the association between change in a frozen biomarker or </w:t>
      </w:r>
      <m:oMath>
        <m:r>
          <m:rPr>
            <m:nor/>
          </m:rPr>
          <m:t>L</m:t>
        </m:r>
        <m:r>
          <m:rPr>
            <m:nor/>
          </m:rPr>
          <m:t>(</m:t>
        </m:r>
        <m:r>
          <m:rPr>
            <m:nor/>
          </m:rPr>
          <m:t>t</m:t>
        </m:r>
        <m:r>
          <m:rPr>
            <m:nor/>
          </m:rPr>
          <m:t>)</m:t>
        </m:r>
      </m:oMath>
      <w:r>
        <w:rPr>
          <w:rFonts w:ascii="Times New Roman" w:hAnsi="Times New Roman" w:eastAsia="Times New Roman"/>
          <w:b w:val="0"/>
          <w:color w:val="000000"/>
          <w:sz w:val="20"/>
        </w:rPr>
        <w:t xml:space="preserve"> from baseline through month 12 and phenoconversion after month 12, adjusted only for baseline predictors fixed in advance. This supports temporal ordering but is not a causal mediation estimand.</w:t>
      </w:r>
    </w:p>
    <w:p>
      <w:pPr>
        <w:pStyle w:val="Heading3"/>
      </w:pPr>
      <w:r>
        <w:rPr>
          <w:rFonts w:ascii="Times New Roman" w:hAnsi="Times New Roman" w:eastAsia="Times New Roman"/>
          <w:b/>
          <w:color w:val="000000"/>
          <w:sz w:val="20"/>
        </w:rPr>
        <w:t>5.5 Prediction estimand</w:t>
      </w:r>
    </w:p>
    <w:p>
      <w:pPr>
        <w:keepLines w:val="0"/>
        <w:jc w:val="both"/>
      </w:pPr>
      <w:r>
        <w:rPr>
          <w:rFonts w:ascii="Times New Roman" w:hAnsi="Times New Roman" w:eastAsia="Times New Roman"/>
          <w:b w:val="0"/>
          <w:color w:val="000000"/>
          <w:sz w:val="20"/>
        </w:rPr>
        <w:t xml:space="preserve">The prediction objective is five-year cumulative phenoconversion risk. The incremental value of </w:t>
      </w:r>
      <m:oMath>
        <m:r>
          <m:rPr>
            <m:nor/>
          </m:rPr>
          <m:t>L</m:t>
        </m:r>
        <m:r>
          <m:rPr>
            <m:nor/>
          </m:rPr>
          <m:t>(</m:t>
        </m:r>
        <m:r>
          <m:rPr>
            <m:nor/>
          </m:rPr>
          <m:t>t</m:t>
        </m:r>
        <m:r>
          <m:rPr>
            <m:nor/>
          </m:rPr>
          <m:t>)</m:t>
        </m:r>
      </m:oMath>
      <w:r>
        <w:rPr>
          <w:rFonts w:ascii="Times New Roman" w:hAnsi="Times New Roman" w:eastAsia="Times New Roman"/>
          <w:b w:val="0"/>
          <w:color w:val="000000"/>
          <w:sz w:val="20"/>
        </w:rPr>
        <w:t xml:space="preserve"> and </w:t>
      </w:r>
      <m:oMath>
        <m:r>
          <m:rPr>
            <m:nor/>
          </m:rPr>
          <m:t>S</m:t>
        </m:r>
        <m:r>
          <m:rPr>
            <m:nor/>
          </m:rPr>
          <m:t>*</m:t>
        </m:r>
      </m:oMath>
      <w:r>
        <w:rPr>
          <w:rFonts w:ascii="Times New Roman" w:hAnsi="Times New Roman" w:eastAsia="Times New Roman"/>
          <w:b w:val="0"/>
          <w:color w:val="000000"/>
          <w:sz w:val="20"/>
        </w:rPr>
        <w:t xml:space="preserve"> is assessed relative to a clinical-genetic model using calibration-in-the-large, calibration slope, time-dependent Brier score, and time-dependent AUC in the external-validation population.</w:t>
      </w:r>
    </w:p>
    <w:p>
      <w:pPr>
        <w:pStyle w:val="Heading2"/>
      </w:pPr>
      <w:r>
        <w:rPr>
          <w:rFonts w:ascii="Times New Roman" w:hAnsi="Times New Roman" w:eastAsia="Times New Roman"/>
          <w:b/>
          <w:color w:val="000000"/>
          <w:sz w:val="22"/>
        </w:rPr>
        <w:t>6. Primary survival model</w:t>
      </w:r>
    </w:p>
    <w:p>
      <w:pPr>
        <w:pStyle w:val="Heading3"/>
      </w:pPr>
      <w:r>
        <w:rPr>
          <w:rFonts w:ascii="Times New Roman" w:hAnsi="Times New Roman" w:eastAsia="Times New Roman"/>
          <w:b/>
          <w:color w:val="000000"/>
          <w:sz w:val="20"/>
        </w:rPr>
        <w:t>6.1 Model specification</w:t>
      </w:r>
    </w:p>
    <w:p>
      <w:pPr>
        <w:keepLines w:val="0"/>
        <w:jc w:val="both"/>
      </w:pPr>
      <w:r>
        <w:rPr>
          <w:rFonts w:ascii="Times New Roman" w:hAnsi="Times New Roman" w:eastAsia="Times New Roman"/>
          <w:b w:val="0"/>
          <w:color w:val="000000"/>
          <w:sz w:val="20"/>
        </w:rPr>
        <w:t>The primary analysis uses a delayed-entry, interval-censored, flexible parametric proportional-hazards model. Genotype has a separate baseline hazard. Baseline log cumulative hazards use restricted cubic splines in log age with degrees of freedom fixed by outcome-blind simulation and capped at four to avoid unstable tails.</w:t>
      </w:r>
    </w:p>
    <w:p>
      <w:pPr>
        <w:keepLines w:val="0"/>
        <w:jc w:val="both"/>
      </w:pPr>
      <w:r>
        <w:rPr>
          <w:rFonts w:ascii="Times New Roman" w:hAnsi="Times New Roman" w:eastAsia="Times New Roman"/>
          <w:b w:val="0"/>
          <w:color w:val="000000"/>
          <w:sz w:val="20"/>
        </w:rPr>
        <w:t xml:space="preserve">For genotype </w:t>
      </w:r>
      <m:oMath>
        <m:r>
          <m:rPr>
            <m:nor/>
          </m:rPr>
          <m:t>g</m:t>
        </m:r>
      </m:oMath>
      <w:r>
        <w:rPr>
          <w:rFonts w:ascii="Times New Roman" w:hAnsi="Times New Roman" w:eastAsia="Times New Roman"/>
          <w:b w:val="0"/>
          <w:color w:val="000000"/>
          <w:sz w:val="20"/>
        </w:rPr>
        <w:t>:</w:t>
      </w:r>
    </w:p>
    <w:p>
      <w:pPr>
        <w:keepLines/>
        <w:spacing w:before="80" w:after="120"/>
        <w:jc w:val="center"/>
      </w:pPr>
      <m:oMath>
        <m:sSub>
          <m:e>
            <m:r>
              <m:rPr>
                <m:nor/>
              </m:rPr>
              <m:t>h</m:t>
            </m:r>
          </m:e>
          <m:sub>
            <m:r>
              <m:rPr>
                <m:nor/>
              </m:rPr>
              <m:t>i</m:t>
            </m:r>
          </m:sub>
        </m:sSub>
        <m:r>
          <m:rPr>
            <m:nor/>
          </m:rPr>
          <m:t>(</m:t>
        </m:r>
        <m:r>
          <m:rPr>
            <m:nor/>
          </m:rPr>
          <m:t>a</m:t>
        </m:r>
        <m:r>
          <m:rPr>
            <m:nor/>
          </m:rPr>
          <m:t>|</m:t>
        </m:r>
        <m:r>
          <m:rPr>
            <m:nor/>
          </m:rPr>
          <m:t>g</m:t>
        </m:r>
        <m:r>
          <m:rPr>
            <m:nor/>
          </m:rPr>
          <m:t>)</m:t>
        </m:r>
        <m:r>
          <m:rPr>
            <m:nor/>
          </m:rPr>
          <m:t>=</m:t>
        </m:r>
        <m:sSub>
          <m:e>
            <m:r>
              <m:rPr>
                <m:nor/>
              </m:rPr>
              <m:t>h</m:t>
            </m:r>
          </m:e>
          <m:sub>
            <m:r>
              <m:rPr>
                <m:nor/>
              </m:rPr>
              <m:t>0g</m:t>
            </m:r>
          </m:sub>
        </m:sSub>
        <m:r>
          <m:rPr>
            <m:nor/>
          </m:rPr>
          <m:t>(</m:t>
        </m:r>
        <m:r>
          <m:rPr>
            <m:nor/>
          </m:rPr>
          <m:t>a</m:t>
        </m:r>
        <m:r>
          <m:rPr>
            <m:nor/>
          </m:rPr>
          <m:t>)</m:t>
        </m:r>
        <m:r>
          <m:rPr>
            <m:nor/>
          </m:rPr>
          <m:t> </m:t>
        </m:r>
        <m:r>
          <m:rPr>
            <m:nor/>
          </m:rPr>
          <m:t>exp</m:t>
        </m:r>
        <m:r>
          <m:rPr>
            <m:nor/>
          </m:rPr>
          <m:t>{</m:t>
        </m:r>
        <m:r>
          <m:rPr>
            <m:nor/>
          </m:rPr>
          <m:t> </m:t>
        </m:r>
        <m:sSub>
          <m:e>
            <m:r>
              <m:rPr>
                <m:nor/>
              </m:rPr>
              <m:t>f</m:t>
            </m:r>
          </m:e>
          <m:sub>
            <m:r>
              <m:rPr>
                <m:nor/>
              </m:rPr>
              <m:t>g</m:t>
            </m:r>
          </m:sub>
        </m:sSub>
        <m:r>
          <m:rPr>
            <m:nor/>
          </m:rPr>
          <m:t>(</m:t>
        </m:r>
        <m:sSubSup>
          <m:e>
            <m:r>
              <m:rPr>
                <m:nor/>
              </m:rPr>
              <m:t>S</m:t>
            </m:r>
          </m:e>
          <m:sub>
            <m:r>
              <m:rPr>
                <m:nor/>
              </m:rPr>
              <m:t>i</m:t>
            </m:r>
          </m:sub>
          <m:sup>
            <m:r>
              <m:rPr>
                <m:nor/>
              </m:rPr>
              <m:t>*</m:t>
            </m:r>
          </m:sup>
        </m:sSubSup>
        <m:r>
          <m:rPr>
            <m:nor/>
          </m:rPr>
          <m:t>)</m:t>
        </m:r>
        <m:r>
          <m:rPr>
            <m:nor/>
          </m:rPr>
          <m:t>+</m:t>
        </m:r>
        <m:r>
          <m:rPr>
            <m:nor/>
          </m:rPr>
          <m:t> </m:t>
        </m:r>
        <m:sSup>
          <m:e>
            <m:r>
              <m:rPr>
                <m:nor/>
              </m:rPr>
              <m:t>β</m:t>
            </m:r>
          </m:e>
          <m:sup>
            <m:r>
              <m:rPr>
                <m:nor/>
              </m:rPr>
              <m:t>T</m:t>
            </m:r>
          </m:sup>
        </m:sSup>
        <m:r>
          <m:rPr>
            <m:nor/>
          </m:rPr>
          <m:t> </m:t>
        </m:r>
        <m:sSub>
          <m:e>
            <m:r>
              <m:rPr>
                <m:nor/>
              </m:rPr>
              <m:t>Z</m:t>
            </m:r>
          </m:e>
          <m:sub>
            <m:r>
              <m:rPr>
                <m:nor/>
              </m:rPr>
              <m:t>i</m:t>
            </m:r>
          </m:sub>
        </m:sSub>
        <m:r>
          <m:rPr>
            <m:nor/>
          </m:rPr>
          <m:t> </m:t>
        </m:r>
        <m:r>
          <m:rPr>
            <m:nor/>
          </m:rPr>
          <m:t>}</m:t>
        </m:r>
        <m:r>
          <m:rPr>
            <m:nor/>
          </m:rPr>
          <m:t>.</m:t>
        </m:r>
      </m:oMath>
    </w:p>
    <w:p>
      <w:pPr>
        <w:keepLines w:val="0"/>
        <w:jc w:val="both"/>
      </w:pPr>
      <w:r>
        <w:rPr>
          <w:rFonts w:ascii="Times New Roman" w:hAnsi="Times New Roman" w:eastAsia="Times New Roman"/>
          <w:b w:val="0"/>
          <w:color w:val="000000"/>
          <w:sz w:val="20"/>
        </w:rPr>
        <w:t xml:space="preserve">The fitted implementation parameterizes </w:t>
      </w:r>
      <m:oMath>
        <m:sSub>
          <m:e>
            <m:r>
              <m:rPr>
                <m:nor/>
              </m:rPr>
              <m:t>f</m:t>
            </m:r>
          </m:e>
          <m:sub>
            <m:r>
              <m:rPr>
                <m:nor/>
              </m:rPr>
              <m:t>3</m:t>
            </m:r>
          </m:sub>
        </m:sSub>
        <m:r>
          <m:rPr>
            <m:nor/>
          </m:rPr>
          <m:t>(</m:t>
        </m:r>
        <m:r>
          <m:rPr>
            <m:nor/>
          </m:rPr>
          <m:t>S</m:t>
        </m:r>
        <m:r>
          <m:rPr>
            <m:nor/>
          </m:rPr>
          <m:t>)</m:t>
        </m:r>
      </m:oMath>
      <w:r>
        <w:rPr>
          <w:rFonts w:ascii="Times New Roman" w:hAnsi="Times New Roman" w:eastAsia="Times New Roman"/>
          <w:b w:val="0"/>
          <w:color w:val="000000"/>
          <w:sz w:val="20"/>
        </w:rPr>
        <w:t xml:space="preserve"> as the three-degree-of-freedom main spline and </w:t>
      </w:r>
      <m:oMath>
        <m:sSub>
          <m:e>
            <m:r>
              <m:rPr>
                <m:nor/>
              </m:rPr>
              <m:t>f</m:t>
            </m:r>
          </m:e>
          <m:sub>
            <m:r>
              <m:rPr>
                <m:nor/>
              </m:rPr>
              <m:t>6</m:t>
            </m:r>
          </m:sub>
        </m:sSub>
        <m:r>
          <m:rPr>
            <m:nor/>
          </m:rPr>
          <m:t>(</m:t>
        </m:r>
        <m:r>
          <m:rPr>
            <m:nor/>
          </m:rPr>
          <m:t>S</m:t>
        </m:r>
        <m:r>
          <m:rPr>
            <m:nor/>
          </m:rPr>
          <m:t>)</m:t>
        </m:r>
        <m:r>
          <m:rPr>
            <m:nor/>
          </m:rPr>
          <m:t>-</m:t>
        </m:r>
        <m:sSub>
          <m:e>
            <m:r>
              <m:rPr>
                <m:nor/>
              </m:rPr>
              <m:t>f</m:t>
            </m:r>
          </m:e>
          <m:sub>
            <m:r>
              <m:rPr>
                <m:nor/>
              </m:rPr>
              <m:t>3</m:t>
            </m:r>
          </m:sub>
        </m:sSub>
        <m:r>
          <m:rPr>
            <m:nor/>
          </m:rPr>
          <m:t>(</m:t>
        </m:r>
        <m:r>
          <m:rPr>
            <m:nor/>
          </m:rPr>
          <m:t>S</m:t>
        </m:r>
        <m:r>
          <m:rPr>
            <m:nor/>
          </m:rPr>
          <m:t>)</m:t>
        </m:r>
      </m:oMath>
      <w:r>
        <w:rPr>
          <w:rFonts w:ascii="Times New Roman" w:hAnsi="Times New Roman" w:eastAsia="Times New Roman"/>
          <w:b w:val="0"/>
          <w:color w:val="000000"/>
          <w:sz w:val="20"/>
        </w:rPr>
        <w:t xml:space="preserve"> as the three interaction terms. H1 is calculated from the frozen SCA3 curve; H2 evaluates heterogeneity and transport only over prespecified common support.</w:t>
      </w:r>
    </w:p>
    <w:p>
      <w:pPr>
        <w:keepLines w:val="0"/>
        <w:jc w:val="both"/>
      </w:pPr>
      <w:r>
        <w:rPr>
          <w:rFonts w:ascii="Times New Roman" w:hAnsi="Times New Roman" w:eastAsia="Times New Roman"/>
          <w:b w:val="0"/>
          <w:color w:val="000000"/>
          <w:sz w:val="20"/>
        </w:rPr>
        <w:t xml:space="preserve">For interval </w:t>
      </w:r>
      <m:oMath>
        <m:r>
          <m:rPr>
            <m:nor/>
          </m:rPr>
          <m:t>(</m:t>
        </m:r>
        <m:sSub>
          <m:e>
            <m:r>
              <m:rPr>
                <m:nor/>
              </m:rPr>
              <m:t>L</m:t>
            </m:r>
          </m:e>
          <m:sub>
            <m:r>
              <m:rPr>
                <m:nor/>
              </m:rPr>
              <m:t>i</m:t>
            </m:r>
          </m:sub>
        </m:sSub>
        <m:r>
          <m:rPr>
            <m:nor/>
          </m:rPr>
          <m:t>,</m:t>
        </m:r>
        <m:sSub>
          <m:e>
            <m:r>
              <m:rPr>
                <m:nor/>
              </m:rPr>
              <m:t>R</m:t>
            </m:r>
          </m:e>
          <m:sub>
            <m:r>
              <m:rPr>
                <m:nor/>
              </m:rPr>
              <m:t>i</m:t>
            </m:r>
          </m:sub>
        </m:sSub>
        <m:r>
          <m:rPr>
            <m:nor/>
          </m:rPr>
          <m:t>]</m:t>
        </m:r>
      </m:oMath>
      <w:r>
        <w:rPr>
          <w:rFonts w:ascii="Times New Roman" w:hAnsi="Times New Roman" w:eastAsia="Times New Roman"/>
          <w:b w:val="0"/>
          <w:color w:val="000000"/>
          <w:sz w:val="20"/>
        </w:rPr>
        <w:t>, the conditional likelihood contribution is proportional to:</w:t>
      </w:r>
    </w:p>
    <w:p>
      <w:pPr>
        <w:keepLines/>
        <w:spacing w:before="80" w:after="120"/>
        <w:jc w:val="center"/>
      </w:pPr>
      <m:oMath>
        <m:f>
          <m:num>
            <m:sSub>
              <m:e>
                <m:r>
                  <m:rPr>
                    <m:nor/>
                  </m:rPr>
                  <m:t>S</m:t>
                </m:r>
              </m:e>
              <m:sub>
                <m:r>
                  <m:rPr>
                    <m:nor/>
                  </m:rPr>
                  <m:t>i</m:t>
                </m:r>
              </m:sub>
            </m:sSub>
            <m:r>
              <m:rPr>
                <m:nor/>
              </m:rPr>
              <m:t>(</m:t>
            </m:r>
            <m:sSub>
              <m:e>
                <m:r>
                  <m:rPr>
                    <m:nor/>
                  </m:rPr>
                  <m:t>L</m:t>
                </m:r>
              </m:e>
              <m:sub>
                <m:r>
                  <m:rPr>
                    <m:nor/>
                  </m:rPr>
                  <m:t>i</m:t>
                </m:r>
              </m:sub>
            </m:sSub>
            <m:r>
              <m:rPr>
                <m:nor/>
              </m:rPr>
              <m:t>)</m:t>
            </m:r>
            <m:r>
              <m:rPr>
                <m:nor/>
              </m:rPr>
              <m:t>-</m:t>
            </m:r>
            <m:sSub>
              <m:e>
                <m:r>
                  <m:rPr>
                    <m:nor/>
                  </m:rPr>
                  <m:t>S</m:t>
                </m:r>
              </m:e>
              <m:sub>
                <m:r>
                  <m:rPr>
                    <m:nor/>
                  </m:rPr>
                  <m:t>i</m:t>
                </m:r>
              </m:sub>
            </m:sSub>
            <m:r>
              <m:rPr>
                <m:nor/>
              </m:rPr>
              <m:t>(</m:t>
            </m:r>
            <m:sSub>
              <m:e>
                <m:r>
                  <m:rPr>
                    <m:nor/>
                  </m:rPr>
                  <m:t>R</m:t>
                </m:r>
              </m:e>
              <m:sub>
                <m:r>
                  <m:rPr>
                    <m:nor/>
                  </m:rPr>
                  <m:t>i</m:t>
                </m:r>
              </m:sub>
            </m:sSub>
            <m:r>
              <m:rPr>
                <m:nor/>
              </m:rPr>
              <m:t>)</m:t>
            </m:r>
          </m:num>
          <m:den>
            <m:sSub>
              <m:e>
                <m:r>
                  <m:rPr>
                    <m:nor/>
                  </m:rPr>
                  <m:t>S</m:t>
                </m:r>
              </m:e>
              <m:sub>
                <m:r>
                  <m:rPr>
                    <m:nor/>
                  </m:rPr>
                  <m:t>i</m:t>
                </m:r>
              </m:sub>
            </m:sSub>
            <m:r>
              <m:rPr>
                <m:nor/>
              </m:rPr>
              <m:t>(</m:t>
            </m:r>
            <m:sSub>
              <m:e>
                <m:r>
                  <m:rPr>
                    <m:nor/>
                  </m:rPr>
                  <m:t>A0</m:t>
                </m:r>
              </m:e>
              <m:sub>
                <m:r>
                  <m:rPr>
                    <m:nor/>
                  </m:rPr>
                  <m:t>i</m:t>
                </m:r>
              </m:sub>
            </m:sSub>
            <m:r>
              <m:rPr>
                <m:nor/>
              </m:rPr>
              <m:t>)</m:t>
            </m:r>
          </m:den>
        </m:f>
        <m:r>
          <m:rPr>
            <m:nor/>
          </m:rPr>
          <m:t>;</m:t>
        </m:r>
      </m:oMath>
    </w:p>
    <w:p>
      <w:pPr>
        <w:keepLines w:val="0"/>
        <w:jc w:val="both"/>
      </w:pPr>
      <w:r>
        <w:rPr>
          <w:rFonts w:ascii="Times New Roman" w:hAnsi="Times New Roman" w:eastAsia="Times New Roman"/>
          <w:b w:val="0"/>
          <w:color w:val="000000"/>
          <w:sz w:val="20"/>
        </w:rPr>
        <w:t xml:space="preserve">for right censoring at </w:t>
      </w:r>
      <m:oMath>
        <m:sSub>
          <m:e>
            <m:r>
              <m:rPr>
                <m:nor/>
              </m:rPr>
              <m:t>C</m:t>
            </m:r>
          </m:e>
          <m:sub>
            <m:r>
              <m:rPr>
                <m:nor/>
              </m:rPr>
              <m:t>i</m:t>
            </m:r>
          </m:sub>
        </m:sSub>
      </m:oMath>
      <w:r>
        <w:rPr>
          <w:rFonts w:ascii="Times New Roman" w:hAnsi="Times New Roman" w:eastAsia="Times New Roman"/>
          <w:b w:val="0"/>
          <w:color w:val="000000"/>
          <w:sz w:val="20"/>
        </w:rPr>
        <w:t xml:space="preserve">, it is </w:t>
      </w:r>
      <m:oMath>
        <m:sSub>
          <m:e>
            <m:r>
              <m:rPr>
                <m:nor/>
              </m:rPr>
              <m:t>S</m:t>
            </m:r>
          </m:e>
          <m:sub>
            <m:r>
              <m:rPr>
                <m:nor/>
              </m:rPr>
              <m:t>i</m:t>
            </m:r>
          </m:sub>
        </m:sSub>
        <m:r>
          <m:rPr>
            <m:nor/>
          </m:rPr>
          <m:t>(</m:t>
        </m:r>
        <m:sSub>
          <m:e>
            <m:r>
              <m:rPr>
                <m:nor/>
              </m:rPr>
              <m:t>C</m:t>
            </m:r>
          </m:e>
          <m:sub>
            <m:r>
              <m:rPr>
                <m:nor/>
              </m:rPr>
              <m:t>i</m:t>
            </m:r>
          </m:sub>
        </m:sSub>
        <m:r>
          <m:rPr>
            <m:nor/>
          </m:rPr>
          <m:t>)</m:t>
        </m:r>
        <m:r>
          <m:rPr>
            <m:nor/>
          </m:rPr>
          <m:t>/</m:t>
        </m:r>
        <m:sSub>
          <m:e>
            <m:r>
              <m:rPr>
                <m:nor/>
              </m:rPr>
              <m:t>S</m:t>
            </m:r>
          </m:e>
          <m:sub>
            <m:r>
              <m:rPr>
                <m:nor/>
              </m:rPr>
              <m:t>i</m:t>
            </m:r>
          </m:sub>
        </m:sSub>
        <m:r>
          <m:rPr>
            <m:nor/>
          </m:rPr>
          <m:t>(</m:t>
        </m:r>
        <m:sSub>
          <m:e>
            <m:r>
              <m:rPr>
                <m:nor/>
              </m:rPr>
              <m:t>A0</m:t>
            </m:r>
          </m:e>
          <m:sub>
            <m:r>
              <m:rPr>
                <m:nor/>
              </m:rPr>
              <m:t>i</m:t>
            </m:r>
          </m:sub>
        </m:sSub>
        <m:r>
          <m:rPr>
            <m:nor/>
          </m:rPr>
          <m:t>)</m:t>
        </m:r>
      </m:oMath>
      <w:r>
        <w:rPr>
          <w:rFonts w:ascii="Times New Roman" w:hAnsi="Times New Roman" w:eastAsia="Times New Roman"/>
          <w:b w:val="0"/>
          <w:color w:val="000000"/>
          <w:sz w:val="20"/>
        </w:rPr>
        <w:t>. This explicitly handles delayed entry and interval censoring.</w:t>
      </w:r>
    </w:p>
    <w:p>
      <w:pPr>
        <w:pStyle w:val="Heading3"/>
      </w:pPr>
      <w:r>
        <w:rPr>
          <w:rFonts w:ascii="Times New Roman" w:hAnsi="Times New Roman" w:eastAsia="Times New Roman"/>
          <w:b/>
          <w:color w:val="000000"/>
          <w:sz w:val="20"/>
        </w:rPr>
        <w:t>6.2 Covariates and clustering</w:t>
      </w:r>
    </w:p>
    <w:p>
      <w:pPr>
        <w:keepLines w:val="0"/>
        <w:jc w:val="both"/>
      </w:pPr>
      <w:r>
        <w:rPr>
          <w:rFonts w:ascii="Times New Roman" w:hAnsi="Times New Roman" w:eastAsia="Times New Roman"/>
          <w:b w:val="0"/>
          <w:color w:val="000000"/>
          <w:sz w:val="20"/>
        </w:rPr>
        <w:t>The primary minimal adjustment set is frozen from the causal diagram and includes: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expanded and normal repeat length, parameterized within genotype;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sex at birth;</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birth cohort;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genetic ancestry principal components specified before outcome access;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site or calibrated exposure region;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education or socioeconomic position and agricultural occupation when identified as confounders in the frozen diagram.</w:t>
      </w:r>
    </w:p>
    <w:p>
      <w:pPr>
        <w:keepLines w:val="0"/>
        <w:jc w:val="both"/>
      </w:pPr>
      <w:r>
        <w:rPr>
          <w:rFonts w:ascii="Times New Roman" w:hAnsi="Times New Roman" w:eastAsia="Times New Roman"/>
          <w:b w:val="0"/>
          <w:color w:val="000000"/>
          <w:sz w:val="20"/>
        </w:rPr>
        <w:t>Age is the time scale and is not duplicated as a baseline linear covariate. Baseline SARA, NfL, MRI, migration after prodromal change, and treatment started after baseline are not included in the primary total-association model because they can be downstream of exposure. They enter prognostic or sensitivity models.</w:t>
      </w:r>
    </w:p>
    <w:p>
      <w:pPr>
        <w:keepLines w:val="0"/>
        <w:jc w:val="both"/>
      </w:pPr>
      <w:r>
        <w:rPr>
          <w:rFonts w:ascii="Times New Roman" w:hAnsi="Times New Roman" w:eastAsia="Times New Roman"/>
          <w:b w:val="0"/>
          <w:color w:val="000000"/>
          <w:sz w:val="20"/>
        </w:rPr>
        <w:t>Site is represented by genotype-compatible stratification or fixed effects selected in the outcome-blind simulation. Family dependence and confirmatory p-value calibration are handled by a family-cluster bootstrap with at least 2,000 replicates; cluster-robust sandwich estimates are also reported. Recruitment oversampling near externally predicted onset is corrected with recorded inverse sampling weights, so the primary fit is a weighted pseudo-likelihood; unweighted results are a sensitivity analysis.</w:t>
      </w:r>
    </w:p>
    <w:p>
      <w:pPr>
        <w:pStyle w:val="Heading3"/>
      </w:pPr>
      <w:r>
        <w:rPr>
          <w:rFonts w:ascii="Times New Roman" w:hAnsi="Times New Roman" w:eastAsia="Times New Roman"/>
          <w:b/>
          <w:color w:val="000000"/>
          <w:sz w:val="20"/>
        </w:rPr>
        <w:t>6.3 Estimation and diagnostics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Weighted maximum pseudo-likelihood is primary; convergence requires stable estimates from prespecified starting values and a non-singular information matrix. The unweighted maximum-likelihood fit is a prespecified sensitivity analysis.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Proportional hazards are assessed with preplanned time-varying coefficient tests. A violated exposure proportional-hazards assumption triggers the frozen time-varying model and time-specific contrasts, not an unreported model search.</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Functional forms for repeat length and birth cohort are fixed by prior evidence or outcome-blind simulation.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Influence diagnostics, support by genotype/site, effective sample size after weighting, and extrapolation beyond common support are reported.</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No curve is plotted outside the overlap support required by the exposure-quality gate.</w:t>
      </w:r>
    </w:p>
    <w:p>
      <w:pPr>
        <w:pStyle w:val="Heading3"/>
      </w:pPr>
      <w:r>
        <w:rPr>
          <w:rFonts w:ascii="Times New Roman" w:hAnsi="Times New Roman" w:eastAsia="Times New Roman"/>
          <w:b/>
          <w:color w:val="000000"/>
          <w:sz w:val="20"/>
        </w:rPr>
        <w:t>6.4 Competing death</w:t>
      </w:r>
    </w:p>
    <w:p>
      <w:pPr>
        <w:keepLines w:val="0"/>
        <w:jc w:val="both"/>
      </w:pPr>
      <w:r>
        <w:rPr>
          <w:rFonts w:ascii="Times New Roman" w:hAnsi="Times New Roman" w:eastAsia="Times New Roman"/>
          <w:b w:val="0"/>
          <w:color w:val="000000"/>
          <w:sz w:val="20"/>
        </w:rPr>
        <w:t>The primary etiologic estimand is the cause-specific phenoconversion hazard, treating death as a competing event. Cumulative incidence is estimated in a prespecified multistate sensitivity model. An analysis that treats death as ordinary non-informative censoring without showing competing-risk results is insufficient, particularly for SCA6.</w:t>
      </w:r>
    </w:p>
    <w:p>
      <w:pPr>
        <w:pStyle w:val="Heading2"/>
      </w:pPr>
      <w:r>
        <w:rPr>
          <w:rFonts w:ascii="Times New Roman" w:hAnsi="Times New Roman" w:eastAsia="Times New Roman"/>
          <w:b/>
          <w:color w:val="000000"/>
          <w:sz w:val="22"/>
        </w:rPr>
        <w:t>7. Multiplicity</w:t>
      </w:r>
    </w:p>
    <w:p>
      <w:pPr>
        <w:keepLines w:val="0"/>
        <w:jc w:val="both"/>
      </w:pPr>
      <w:r>
        <w:rPr>
          <w:rFonts w:ascii="Times New Roman" w:hAnsi="Times New Roman" w:eastAsia="Times New Roman"/>
          <w:b w:val="0"/>
          <w:color w:val="000000"/>
          <w:sz w:val="20"/>
        </w:rPr>
        <w:t xml:space="preserve">H1 and H2 form the only confirmatory family. Let their two-sided raw p values be </w:t>
      </w:r>
      <m:oMath>
        <m:r>
          <m:rPr>
            <m:nor/>
          </m:rPr>
          <m:t>p1</m:t>
        </m:r>
      </m:oMath>
      <w:r>
        <w:rPr>
          <w:rFonts w:ascii="Times New Roman" w:hAnsi="Times New Roman" w:eastAsia="Times New Roman"/>
          <w:b w:val="0"/>
          <w:color w:val="000000"/>
          <w:sz w:val="20"/>
        </w:rPr>
        <w:t xml:space="preserve"> and </w:t>
      </w:r>
      <m:oMath>
        <m:r>
          <m:rPr>
            <m:nor/>
          </m:rPr>
          <m:t>p2</m:t>
        </m:r>
      </m:oMath>
      <w:r>
        <w:rPr>
          <w:rFonts w:ascii="Times New Roman" w:hAnsi="Times New Roman" w:eastAsia="Times New Roman"/>
          <w:b w:val="0"/>
          <w:color w:val="000000"/>
          <w:sz w:val="20"/>
        </w:rPr>
        <w:t>. Holm control is applied as follows:</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order the two p values;</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compare the smaller with 0.025;</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val="0"/>
          <w:color w:val="000000"/>
          <w:sz w:val="20"/>
        </w:rPr>
        <w:t>only if it passes, compare the larger with 0.05.</w:t>
      </w:r>
    </w:p>
    <w:p>
      <w:pPr>
        <w:keepLines w:val="0"/>
        <w:jc w:val="both"/>
      </w:pPr>
      <w:r>
        <w:rPr>
          <w:rFonts w:ascii="Times New Roman" w:hAnsi="Times New Roman" w:eastAsia="Times New Roman"/>
          <w:b w:val="0"/>
          <w:color w:val="000000"/>
          <w:sz w:val="20"/>
        </w:rPr>
        <w:t>The H1 direction and shape requirements must also be met before the result is called support for the proposed hump. A significant association in the opposite direction is reported as a rejected directional prediction, not a successful H1.</w:t>
      </w:r>
    </w:p>
    <w:p>
      <w:pPr>
        <w:keepLines w:val="0"/>
        <w:jc w:val="both"/>
      </w:pPr>
      <w:r>
        <w:rPr>
          <w:rFonts w:ascii="Times New Roman" w:hAnsi="Times New Roman" w:eastAsia="Times New Roman"/>
          <w:b w:val="0"/>
          <w:color w:val="000000"/>
          <w:sz w:val="20"/>
        </w:rPr>
        <w:t xml:space="preserve">Key secondary analyses do not inherit confirmatory status. SARA, log NfL, and the genotype-specific primary MRI measure are reported in that fixed order with 95% confidence intervals; inferential p values are labelled supportive. Families of related MRI, MRS, oculomotor, gait, and omics variables use Benjamini–Hochberg FDR at </w:t>
      </w:r>
      <m:oMath>
        <m:r>
          <m:rPr>
            <m:nor/>
          </m:rPr>
          <m:t>q</m:t>
        </m:r>
        <m:r>
          <m:rPr>
            <m:nor/>
          </m:rPr>
          <m:t>=</m:t>
        </m:r>
        <m:r>
          <m:rPr>
            <m:nor/>
          </m:rPr>
          <m:t>0</m:t>
        </m:r>
        <m:r>
          <m:rPr>
            <m:nor/>
          </m:rPr>
          <m:t>.</m:t>
        </m:r>
        <m:r>
          <m:rPr>
            <m:nor/>
          </m:rPr>
          <m:t>05</m:t>
        </m:r>
      </m:oMath>
      <w:r>
        <w:rPr>
          <w:rFonts w:ascii="Times New Roman" w:hAnsi="Times New Roman" w:eastAsia="Times New Roman"/>
          <w:b w:val="0"/>
          <w:color w:val="000000"/>
          <w:sz w:val="20"/>
        </w:rPr>
        <w:t>. Unadjusted exploratory p values are not described as discoveries.</w:t>
      </w:r>
    </w:p>
    <w:p>
      <w:pPr>
        <w:pStyle w:val="Heading2"/>
      </w:pPr>
      <w:r>
        <w:rPr>
          <w:rFonts w:ascii="Times New Roman" w:hAnsi="Times New Roman" w:eastAsia="Times New Roman"/>
          <w:b/>
          <w:color w:val="000000"/>
          <w:sz w:val="22"/>
        </w:rPr>
        <w:t>8. Longitudinal outcome models</w:t>
      </w:r>
    </w:p>
    <w:p>
      <w:pPr>
        <w:pStyle w:val="Heading3"/>
      </w:pPr>
      <w:r>
        <w:rPr>
          <w:rFonts w:ascii="Times New Roman" w:hAnsi="Times New Roman" w:eastAsia="Times New Roman"/>
          <w:b/>
          <w:color w:val="000000"/>
          <w:sz w:val="20"/>
        </w:rPr>
        <w:t>8.1 General model</w:t>
      </w:r>
    </w:p>
    <w:p>
      <w:pPr>
        <w:keepLines w:val="0"/>
        <w:jc w:val="both"/>
      </w:pPr>
      <w:r>
        <w:rPr>
          <w:rFonts w:ascii="Times New Roman" w:hAnsi="Times New Roman" w:eastAsia="Times New Roman"/>
          <w:b w:val="0"/>
          <w:color w:val="000000"/>
          <w:sz w:val="20"/>
        </w:rPr>
        <w:t>Repeated continuous outcomes use genotype-specific linear or generalized additive mixed models:</w:t>
      </w:r>
    </w:p>
    <w:p>
      <w:pPr>
        <w:keepLines/>
        <w:spacing w:before="80" w:after="120"/>
        <w:jc w:val="center"/>
      </w:pPr>
      <m:oMath>
        <m:sSub>
          <m:e>
            <m:r>
              <m:rPr>
                <m:nor/>
              </m:rPr>
              <m:t>Y</m:t>
            </m:r>
          </m:e>
          <m:sub>
            <m:r>
              <m:rPr>
                <m:nor/>
              </m:rPr>
              <m:t>it</m:t>
            </m:r>
          </m:sub>
        </m:sSub>
        <m:r>
          <m:rPr>
            <m:nor/>
          </m:rPr>
          <m:t>=</m:t>
        </m:r>
        <m:sSub>
          <m:e>
            <m:r>
              <m:rPr>
                <m:nor/>
              </m:rPr>
              <m:t>β</m:t>
            </m:r>
          </m:e>
          <m:sub>
            <m:r>
              <m:rPr>
                <m:nor/>
              </m:rPr>
              <m:t>0</m:t>
            </m:r>
          </m:sub>
        </m:sSub>
        <m:r>
          <m:rPr>
            <m:nor/>
          </m:rPr>
          <m:t>+</m:t>
        </m:r>
        <m:sSub>
          <m:e>
            <m:r>
              <m:rPr>
                <m:nor/>
              </m:rPr>
              <m:t>b</m:t>
            </m:r>
          </m:e>
          <m:sub>
            <m:r>
              <m:rPr>
                <m:nor/>
              </m:rPr>
              <m:t>0i</m:t>
            </m:r>
          </m:sub>
        </m:sSub>
        <m:r>
          <m:rPr>
            <m:nor/>
          </m:rPr>
          <m:t>+</m:t>
        </m:r>
        <m:r>
          <m:rPr>
            <m:nor/>
          </m:rPr>
          <m:t>s</m:t>
        </m:r>
        <m:r>
          <m:rPr>
            <m:nor/>
          </m:rPr>
          <m:t>(</m:t>
        </m:r>
        <m:sSub>
          <m:e>
            <m:r>
              <m:rPr>
                <m:nor/>
              </m:rPr>
              <m:t>t</m:t>
            </m:r>
          </m:e>
          <m:sub>
            <m:r>
              <m:rPr>
                <m:nor/>
              </m:rPr>
              <m:t>it</m:t>
            </m:r>
          </m:sub>
        </m:sSub>
        <m:r>
          <m:rPr>
            <m:nor/>
          </m:rPr>
          <m:t>)</m:t>
        </m:r>
        <m:r>
          <m:rPr>
            <m:nor/>
          </m:rPr>
          <m:t>+</m:t>
        </m:r>
        <m:sSub>
          <m:e>
            <m:r>
              <m:rPr>
                <m:nor/>
              </m:rPr>
              <m:t>b</m:t>
            </m:r>
          </m:e>
          <m:sub>
            <m:r>
              <m:rPr>
                <m:nor/>
              </m:rPr>
              <m:t>1i</m:t>
            </m:r>
          </m:sub>
        </m:sSub>
        <m:sSub>
          <m:e>
            <m:r>
              <m:rPr>
                <m:nor/>
              </m:rPr>
              <m:t>t</m:t>
            </m:r>
          </m:e>
          <m:sub>
            <m:r>
              <m:rPr>
                <m:nor/>
              </m:rPr>
              <m:t>it</m:t>
            </m:r>
          </m:sub>
        </m:sSub>
        <m:r>
          <m:rPr>
            <m:nor/>
          </m:rPr>
          <m:t> </m:t>
        </m:r>
        <m:r>
          <m:rPr>
            <m:nor/>
          </m:rPr>
          <m:t>+</m:t>
        </m:r>
        <m:r>
          <m:rPr>
            <m:nor/>
          </m:rPr>
          <m:t>f</m:t>
        </m:r>
        <m:r>
          <m:rPr>
            <m:nor/>
          </m:rPr>
          <m:t>(</m:t>
        </m:r>
        <m:sSubSup>
          <m:e>
            <m:r>
              <m:rPr>
                <m:nor/>
              </m:rPr>
              <m:t>S</m:t>
            </m:r>
          </m:e>
          <m:sub>
            <m:r>
              <m:rPr>
                <m:nor/>
              </m:rPr>
              <m:t>i</m:t>
            </m:r>
          </m:sub>
          <m:sup>
            <m:r>
              <m:rPr>
                <m:nor/>
              </m:rPr>
              <m:t>*</m:t>
            </m:r>
          </m:sup>
        </m:sSubSup>
        <m:r>
          <m:rPr>
            <m:nor/>
          </m:rPr>
          <m:t>)</m:t>
        </m:r>
        <m:r>
          <m:rPr>
            <m:nor/>
          </m:rPr>
          <m:t>+</m:t>
        </m:r>
        <m:r>
          <m:rPr>
            <m:nor/>
          </m:rPr>
          <m:t>f</m:t>
        </m:r>
        <m:r>
          <m:rPr>
            <m:nor/>
          </m:rPr>
          <m:t>(</m:t>
        </m:r>
        <m:sSubSup>
          <m:e>
            <m:r>
              <m:rPr>
                <m:nor/>
              </m:rPr>
              <m:t>S</m:t>
            </m:r>
          </m:e>
          <m:sub>
            <m:r>
              <m:rPr>
                <m:nor/>
              </m:rPr>
              <m:t>i</m:t>
            </m:r>
          </m:sub>
          <m:sup>
            <m:r>
              <m:rPr>
                <m:nor/>
              </m:rPr>
              <m:t>*</m:t>
            </m:r>
          </m:sup>
        </m:sSubSup>
        <m:r>
          <m:rPr>
            <m:nor/>
          </m:rPr>
          <m:t>)</m:t>
        </m:r>
        <m:r>
          <m:rPr>
            <m:nor/>
          </m:rPr>
          <m:t>×</m:t>
        </m:r>
        <m:r>
          <m:rPr>
            <m:nor/>
          </m:rPr>
          <m:t> </m:t>
        </m:r>
        <m:sSub>
          <m:e>
            <m:r>
              <m:rPr>
                <m:nor/>
              </m:rPr>
              <m:t>t</m:t>
            </m:r>
          </m:e>
          <m:sub>
            <m:r>
              <m:rPr>
                <m:nor/>
              </m:rPr>
              <m:t>it</m:t>
            </m:r>
          </m:sub>
        </m:sSub>
        <m:r>
          <m:rPr>
            <m:nor/>
          </m:rPr>
          <m:t> </m:t>
        </m:r>
        <m:r>
          <m:rPr>
            <m:nor/>
          </m:rPr>
          <m:t>+</m:t>
        </m:r>
        <m:sSub>
          <m:e>
            <m:r>
              <m:rPr>
                <m:nor/>
              </m:rPr>
              <m:t>G</m:t>
            </m:r>
          </m:e>
          <m:sub>
            <m:r>
              <m:rPr>
                <m:nor/>
              </m:rPr>
              <m:t>i</m:t>
            </m:r>
          </m:sub>
        </m:sSub>
        <m:r>
          <m:rPr>
            <m:nor/>
          </m:rPr>
          <m:t>×</m:t>
        </m:r>
        <m:r>
          <m:rPr>
            <m:nor/>
          </m:rPr>
          <m:t> </m:t>
        </m:r>
        <m:r>
          <m:rPr>
            <m:nor/>
          </m:rPr>
          <m:t>s</m:t>
        </m:r>
        <m:r>
          <m:rPr>
            <m:nor/>
          </m:rPr>
          <m:t>(</m:t>
        </m:r>
        <m:sSub>
          <m:e>
            <m:r>
              <m:rPr>
                <m:nor/>
              </m:rPr>
              <m:t>t</m:t>
            </m:r>
          </m:e>
          <m:sub>
            <m:r>
              <m:rPr>
                <m:nor/>
              </m:rPr>
              <m:t>it</m:t>
            </m:r>
          </m:sub>
        </m:sSub>
        <m:r>
          <m:rPr>
            <m:nor/>
          </m:rPr>
          <m:t>)</m:t>
        </m:r>
        <m:r>
          <m:rPr>
            <m:nor/>
          </m:rPr>
          <m:t> </m:t>
        </m:r>
        <m:r>
          <m:rPr>
            <m:nor/>
          </m:rPr>
          <m:t>+</m:t>
        </m:r>
        <m:sSup>
          <m:e>
            <m:r>
              <m:rPr>
                <m:nor/>
              </m:rPr>
              <m:t>γ</m:t>
            </m:r>
          </m:e>
          <m:sup>
            <m:r>
              <m:rPr>
                <m:nor/>
              </m:rPr>
              <m:t>T</m:t>
            </m:r>
          </m:sup>
        </m:sSup>
        <m:r>
          <m:rPr>
            <m:nor/>
          </m:rPr>
          <m:t> </m:t>
        </m:r>
        <m:sSub>
          <m:e>
            <m:r>
              <m:rPr>
                <m:nor/>
              </m:rPr>
              <m:t>Z</m:t>
            </m:r>
          </m:e>
          <m:sub>
            <m:r>
              <m:rPr>
                <m:nor/>
              </m:rPr>
              <m:t>i</m:t>
            </m:r>
          </m:sub>
        </m:sSub>
        <m:r>
          <m:rPr>
            <m:nor/>
          </m:rPr>
          <m:t>+</m:t>
        </m:r>
        <m:sSub>
          <m:e>
            <m:r>
              <m:rPr>
                <m:nor/>
              </m:rPr>
              <m:t>ε</m:t>
            </m:r>
          </m:e>
          <m:sub>
            <m:r>
              <m:rPr>
                <m:nor/>
              </m:rPr>
              <m:t>it</m:t>
            </m:r>
          </m:sub>
        </m:sSub>
        <m:r>
          <m:rPr>
            <m:nor/>
          </m:rPr>
          <m:t>.</m:t>
        </m:r>
      </m:oMath>
    </w:p>
    <w:p>
      <w:pPr>
        <w:keepLines w:val="0"/>
        <w:jc w:val="both"/>
      </w:pPr>
      <w:r>
        <w:rPr>
          <w:rFonts w:ascii="Times New Roman" w:hAnsi="Times New Roman" w:eastAsia="Times New Roman"/>
          <w:b w:val="0"/>
          <w:color w:val="000000"/>
          <w:sz w:val="20"/>
        </w:rPr>
        <w:t>The primary supportive specification uses a random intercept and random linear slope, with time represented by a restricted cubic spline at 0, 1, 3, and 5 years. Random-effect covariance is unstructured unless the model is singular; the prespecified fallback is independent random intercept and slope. Site/scanner and family are included as appropriate.</w:t>
      </w:r>
    </w:p>
    <w:p>
      <w:pPr>
        <w:pStyle w:val="Heading3"/>
      </w:pPr>
      <w:r>
        <w:rPr>
          <w:rFonts w:ascii="Times New Roman" w:hAnsi="Times New Roman" w:eastAsia="Times New Roman"/>
          <w:b/>
          <w:color w:val="000000"/>
          <w:sz w:val="20"/>
        </w:rPr>
        <w:t>8.2 Outcome-specific rules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SARA/f-SARA:</w:t>
      </w:r>
      <w:r>
        <w:rPr>
          <w:rFonts w:ascii="Times New Roman" w:hAnsi="Times New Roman" w:eastAsia="Times New Roman"/>
          <w:b w:val="0"/>
          <w:color w:val="000000"/>
          <w:sz w:val="20"/>
        </w:rPr>
        <w:t xml:space="preserve"> raw-scale mixed model is primary for comparability. A bounded ordinal or item-response mixed model and stage-specific slope model assess floor, ceiling, and non-linearity.</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NfL:</w:t>
      </w:r>
      <w:r>
        <w:rPr>
          <w:rFonts w:ascii="Times New Roman" w:hAnsi="Times New Roman" w:eastAsia="Times New Roman"/>
          <w:b w:val="0"/>
          <w:color w:val="000000"/>
          <w:sz w:val="20"/>
        </w:rPr>
        <w:t xml:space="preserve"> analyse log concentration; adjust for age, sex, eGFR, body mass index, assay lot, and prespecified acute neurological or systemic events.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MRI:</w:t>
      </w:r>
      <w:r>
        <w:rPr>
          <w:rFonts w:ascii="Times New Roman" w:hAnsi="Times New Roman" w:eastAsia="Times New Roman"/>
          <w:b w:val="0"/>
          <w:color w:val="000000"/>
          <w:sz w:val="20"/>
        </w:rPr>
        <w:t xml:space="preserve"> adjust volume for intracranial volume and all measures for scanner/site, upgrade, and quality metrics. SCA3 pons/medulla and peduncle diffusion are separate prespecified measures; SCA6 cerebellar volume remains a candidate endpoint.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MRS:</w:t>
      </w:r>
      <w:r>
        <w:rPr>
          <w:rFonts w:ascii="Times New Roman" w:hAnsi="Times New Roman" w:eastAsia="Times New Roman"/>
          <w:b w:val="0"/>
          <w:color w:val="000000"/>
          <w:sz w:val="20"/>
        </w:rPr>
        <w:t xml:space="preserve"> correct for tissue fraction and include site/vendor/sequence effects. Annual enhanced-site observations and the core baseline/month-24/month-60 observations are modelled under planned missing-by-design assumptions.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Gait and eye movement:</w:t>
      </w:r>
      <w:r>
        <w:rPr>
          <w:rFonts w:ascii="Times New Roman" w:hAnsi="Times New Roman" w:eastAsia="Times New Roman"/>
          <w:b w:val="0"/>
          <w:color w:val="000000"/>
          <w:sz w:val="20"/>
        </w:rPr>
        <w:t xml:space="preserve"> inability to complete a task is not deleted. A joint ordinal-continuous or worst-state sensitivity model includes loss of task ability.</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PROs:</w:t>
      </w:r>
      <w:r>
        <w:rPr>
          <w:rFonts w:ascii="Times New Roman" w:hAnsi="Times New Roman" w:eastAsia="Times New Roman"/>
          <w:b w:val="0"/>
          <w:color w:val="000000"/>
          <w:sz w:val="20"/>
        </w:rPr>
        <w:t xml:space="preserve"> FARS-ADL and PROM-Ataxia are analysed in raw units, with PGI-C used as an anchor in supportive meaningful-change analyses.</w:t>
      </w:r>
    </w:p>
    <w:p>
      <w:pPr>
        <w:keepLines w:val="0"/>
        <w:jc w:val="both"/>
      </w:pPr>
      <w:r>
        <w:rPr>
          <w:rFonts w:ascii="Times New Roman" w:hAnsi="Times New Roman" w:eastAsia="Times New Roman"/>
          <w:b w:val="0"/>
          <w:color w:val="000000"/>
          <w:sz w:val="20"/>
        </w:rPr>
        <w:t xml:space="preserve">The early symptomatic stratum is vulnerable to exposure changes caused by disease. Its </w:t>
      </w:r>
      <m:oMath>
        <m:r>
          <m:rPr>
            <m:nor/>
          </m:rPr>
          <m:t>S</m:t>
        </m:r>
        <m:r>
          <m:rPr>
            <m:nor/>
          </m:rPr>
          <m:t>*</m:t>
        </m:r>
      </m:oMath>
      <w:r>
        <w:rPr>
          <w:rFonts w:ascii="Times New Roman" w:hAnsi="Times New Roman" w:eastAsia="Times New Roman"/>
          <w:b w:val="0"/>
          <w:color w:val="000000"/>
          <w:sz w:val="20"/>
        </w:rPr>
        <w:t>-by-slope associations are supportive, not confirmatory causal estimates.</w:t>
      </w:r>
    </w:p>
    <w:p>
      <w:pPr>
        <w:pStyle w:val="Heading2"/>
      </w:pPr>
      <w:r>
        <w:rPr>
          <w:rFonts w:ascii="Times New Roman" w:hAnsi="Times New Roman" w:eastAsia="Times New Roman"/>
          <w:b/>
          <w:color w:val="000000"/>
          <w:sz w:val="22"/>
        </w:rPr>
        <w:t xml:space="preserve">9. Latent biomarker state </w:t>
      </w:r>
      <m:oMath>
        <m:r>
          <m:rPr>
            <m:nor/>
          </m:rPr>
          <m:t>L</m:t>
        </m:r>
        <m:r>
          <m:rPr>
            <m:nor/>
          </m:rPr>
          <m:t>(</m:t>
        </m:r>
        <m:r>
          <m:rPr>
            <m:nor/>
          </m:rPr>
          <m:t>t</m:t>
        </m:r>
        <m:r>
          <m:rPr>
            <m:nor/>
          </m:rPr>
          <m:t>)</m:t>
        </m:r>
      </m:oMath>
    </w:p>
    <w:p>
      <w:pPr>
        <w:pStyle w:val="Heading3"/>
      </w:pPr>
      <w:r>
        <w:rPr>
          <w:rFonts w:ascii="Times New Roman" w:hAnsi="Times New Roman" w:eastAsia="Times New Roman"/>
          <w:b/>
          <w:color w:val="000000"/>
          <w:sz w:val="20"/>
        </w:rPr>
        <w:t>9.1 Construction</w:t>
      </w:r>
    </w:p>
    <w:p>
      <w:pPr>
        <w:keepLines w:val="0"/>
        <w:jc w:val="both"/>
      </w:pPr>
      <m:oMath>
        <m:r>
          <m:rPr>
            <m:nor/>
          </m:rPr>
          <m:t>L</m:t>
        </m:r>
        <m:r>
          <m:rPr>
            <m:nor/>
          </m:rPr>
          <m:t>(</m:t>
        </m:r>
        <m:r>
          <m:rPr>
            <m:nor/>
          </m:rPr>
          <m:t>t</m:t>
        </m:r>
        <m:r>
          <m:rPr>
            <m:nor/>
          </m:rPr>
          <m:t>)</m:t>
        </m:r>
      </m:oMath>
      <w:r>
        <w:rPr>
          <w:rFonts w:ascii="Times New Roman" w:hAnsi="Times New Roman" w:eastAsia="Times New Roman"/>
          <w:b w:val="0"/>
          <w:color w:val="000000"/>
          <w:sz w:val="20"/>
        </w:rPr>
        <w:t xml:space="preserve"> is a measurement model, not an independently observed substance. Higher </w:t>
      </w:r>
      <m:oMath>
        <m:r>
          <m:rPr>
            <m:nor/>
          </m:rPr>
          <m:t>L</m:t>
        </m:r>
      </m:oMath>
      <w:r>
        <w:rPr>
          <w:rFonts w:ascii="Times New Roman" w:hAnsi="Times New Roman" w:eastAsia="Times New Roman"/>
          <w:b w:val="0"/>
          <w:color w:val="000000"/>
          <w:sz w:val="20"/>
        </w:rPr>
        <w:t xml:space="preserve"> is defined as a healthier maintenance state. Candidate domains are oriented and standardized so that higher values are healthier:</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reverse log NfL z score;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structural integrity z score from the frozen genotype-specific MRI summary;</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neurochemical integrity z score from prespecified MRS metabolites;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gait/balance stability z score;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oculomotor stability z score.</w:t>
      </w:r>
    </w:p>
    <w:p>
      <w:pPr>
        <w:keepLines w:val="0"/>
        <w:jc w:val="both"/>
      </w:pPr>
      <w:r>
        <w:rPr>
          <w:rFonts w:ascii="Times New Roman" w:hAnsi="Times New Roman" w:eastAsia="Times New Roman"/>
          <w:b w:val="0"/>
          <w:color w:val="000000"/>
          <w:sz w:val="20"/>
        </w:rPr>
        <w:t>SARA, f-SARA, clinician confidence, phenoconversion, and PROs are excluded from the indicators. This prevents incorporation of the clinical outcome into its proposed predictor.</w:t>
      </w:r>
    </w:p>
    <w:p>
      <w:pPr>
        <w:pStyle w:val="Heading3"/>
      </w:pPr>
      <w:r>
        <w:rPr>
          <w:rFonts w:ascii="Times New Roman" w:hAnsi="Times New Roman" w:eastAsia="Times New Roman"/>
          <w:b/>
          <w:color w:val="000000"/>
          <w:sz w:val="20"/>
        </w:rPr>
        <w:t>9.2 Development</w:t>
      </w:r>
    </w:p>
    <w:p>
      <w:pPr>
        <w:keepLines w:val="0"/>
        <w:jc w:val="both"/>
      </w:pPr>
      <w:r>
        <w:rPr>
          <w:rFonts w:ascii="Times New Roman" w:hAnsi="Times New Roman" w:eastAsia="Times New Roman"/>
          <w:b w:val="0"/>
          <w:color w:val="000000"/>
          <w:sz w:val="20"/>
        </w:rPr>
        <w:t>A longitudinal confirmatory-factor or latent-process model is fitted in the development geography with site and method effects specified a priori. One-factor fit is considered adequate for continued evaluation only if:</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comparative fit index and Tucker–Lewis index are at least 0.90;</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root mean square error of approximation and standardized root mean square residual are at most 0.08;</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factor determinacy is at least 0.80;</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residual correlations do not reveal an unmodelled method factor that dominates the biological signal.</w:t>
      </w:r>
    </w:p>
    <w:p>
      <w:pPr>
        <w:keepLines w:val="0"/>
        <w:jc w:val="both"/>
      </w:pPr>
      <w:r>
        <w:rPr>
          <w:rFonts w:ascii="Times New Roman" w:hAnsi="Times New Roman" w:eastAsia="Times New Roman"/>
          <w:b w:val="0"/>
          <w:color w:val="000000"/>
          <w:sz w:val="20"/>
        </w:rPr>
        <w:t xml:space="preserve">Longitudinal configural, loading, and intercept invariance are tested. Cross-genotype invariance uses change thresholds of </w:t>
      </w:r>
      <m:oMath>
        <m:r>
          <m:rPr>
            <m:nor/>
          </m:rPr>
          <m:t>|</m:t>
        </m:r>
        <m:r>
          <m:rPr>
            <m:nor/>
          </m:rPr>
          <m:t>Δ</m:t>
        </m:r>
        <m:r>
          <m:rPr>
            <m:nor/>
          </m:rPr>
          <m:t> </m:t>
        </m:r>
        <m:r>
          <m:rPr>
            <m:nor/>
          </m:rPr>
          <m:t>CFI</m:t>
        </m:r>
        <m:r>
          <m:rPr>
            <m:nor/>
          </m:rPr>
          <m:t>|</m:t>
        </m:r>
        <m:r>
          <m:rPr>
            <m:nor/>
          </m:rPr>
          <m:t> </m:t>
        </m:r>
        <m:r>
          <m:rPr>
            <m:nor/>
          </m:rPr>
          <m:t>≤</m:t>
        </m:r>
        <m:r>
          <m:rPr>
            <m:nor/>
          </m:rPr>
          <m:t>0</m:t>
        </m:r>
        <m:r>
          <m:rPr>
            <m:nor/>
          </m:rPr>
          <m:t>.</m:t>
        </m:r>
        <m:r>
          <m:rPr>
            <m:nor/>
          </m:rPr>
          <m:t>01</m:t>
        </m:r>
      </m:oMath>
      <w:r>
        <w:rPr>
          <w:rFonts w:ascii="Times New Roman" w:hAnsi="Times New Roman" w:eastAsia="Times New Roman"/>
          <w:b w:val="0"/>
          <w:color w:val="000000"/>
          <w:sz w:val="20"/>
        </w:rPr>
        <w:t xml:space="preserve"> and </w:t>
      </w:r>
      <m:oMath>
        <m:r>
          <m:rPr>
            <m:nor/>
          </m:rPr>
          <m:t>|</m:t>
        </m:r>
        <m:r>
          <m:rPr>
            <m:nor/>
          </m:rPr>
          <m:t>Δ</m:t>
        </m:r>
        <m:r>
          <m:rPr>
            <m:nor/>
          </m:rPr>
          <m:t> </m:t>
        </m:r>
        <m:r>
          <m:rPr>
            <m:nor/>
          </m:rPr>
          <m:t>RMSEA</m:t>
        </m:r>
        <m:r>
          <m:rPr>
            <m:nor/>
          </m:rPr>
          <m:t>|</m:t>
        </m:r>
        <m:r>
          <m:rPr>
            <m:nor/>
          </m:rPr>
          <m:t> </m:t>
        </m:r>
        <m:r>
          <m:rPr>
            <m:nor/>
          </m:rPr>
          <m:t>≤</m:t>
        </m:r>
        <m:r>
          <m:rPr>
            <m:nor/>
          </m:rPr>
          <m:t>0</m:t>
        </m:r>
        <m:r>
          <m:rPr>
            <m:nor/>
          </m:rPr>
          <m:t>.</m:t>
        </m:r>
        <m:r>
          <m:rPr>
            <m:nor/>
          </m:rPr>
          <m:t>015</m:t>
        </m:r>
      </m:oMath>
      <w:r>
        <w:rPr>
          <w:rFonts w:ascii="Times New Roman" w:hAnsi="Times New Roman" w:eastAsia="Times New Roman"/>
          <w:b w:val="0"/>
          <w:color w:val="000000"/>
          <w:sz w:val="20"/>
        </w:rPr>
        <w:t xml:space="preserve"> as prespecified diagnostics. Failure means that a pooled common </w:t>
      </w:r>
      <m:oMath>
        <m:r>
          <m:rPr>
            <m:nor/>
          </m:rPr>
          <m:t>L</m:t>
        </m:r>
      </m:oMath>
      <w:r>
        <w:rPr>
          <w:rFonts w:ascii="Times New Roman" w:hAnsi="Times New Roman" w:eastAsia="Times New Roman"/>
          <w:b w:val="0"/>
          <w:color w:val="000000"/>
          <w:sz w:val="20"/>
        </w:rPr>
        <w:t xml:space="preserve"> is not retained. Genotype-specific factors may then be explored under new labels.</w:t>
      </w:r>
    </w:p>
    <w:p>
      <w:pPr>
        <w:pStyle w:val="Heading3"/>
      </w:pPr>
      <w:r>
        <w:rPr>
          <w:rFonts w:ascii="Times New Roman" w:hAnsi="Times New Roman" w:eastAsia="Times New Roman"/>
          <w:b/>
          <w:color w:val="000000"/>
          <w:sz w:val="20"/>
        </w:rPr>
        <w:t>9.3 Validation</w:t>
      </w:r>
    </w:p>
    <w:p>
      <w:pPr>
        <w:keepLines w:val="0"/>
        <w:jc w:val="both"/>
      </w:pPr>
      <w:r>
        <w:rPr>
          <w:rFonts w:ascii="Times New Roman" w:hAnsi="Times New Roman" w:eastAsia="Times New Roman"/>
          <w:b w:val="0"/>
          <w:color w:val="000000"/>
          <w:sz w:val="20"/>
        </w:rPr>
        <w:t>Loadings, transformations, missing-indicator rules, and score computation are frozen before external validation. No loading is dropped because it predicts poorly in the validation data. External analyses test: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longitudinal measurement fit and calibration of factor scores;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 xml:space="preserve">association of baseline </w:t>
      </w:r>
      <m:oMath>
        <m:r>
          <m:rPr>
            <m:nor/>
          </m:rPr>
          <m:t>L</m:t>
        </m:r>
      </m:oMath>
      <w:r>
        <w:rPr>
          <w:rFonts w:ascii="Times New Roman" w:hAnsi="Times New Roman" w:eastAsia="Times New Roman"/>
          <w:b w:val="0"/>
          <w:color w:val="000000"/>
          <w:sz w:val="20"/>
        </w:rPr>
        <w:t xml:space="preserve"> and 12-month </w:t>
      </w:r>
      <m:oMath>
        <m:r>
          <m:rPr>
            <m:nor/>
          </m:rPr>
          <m:t>L</m:t>
        </m:r>
      </m:oMath>
      <w:r>
        <w:rPr>
          <w:rFonts w:ascii="Times New Roman" w:hAnsi="Times New Roman" w:eastAsia="Times New Roman"/>
          <w:b w:val="0"/>
          <w:color w:val="000000"/>
          <w:sz w:val="20"/>
        </w:rPr>
        <w:t xml:space="preserve"> change with later conversion;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dynamic prediction beyond age, genotype, repeat length, sex, ancestry, and baseline subthreshold SARA;</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calibration slope, Brier score, AUC, and decision curves with uncertainty.</w:t>
      </w:r>
    </w:p>
    <w:p>
      <w:pPr>
        <w:keepLines w:val="0"/>
        <w:jc w:val="both"/>
      </w:pPr>
      <w:r>
        <w:rPr>
          <w:rFonts w:ascii="Times New Roman" w:hAnsi="Times New Roman" w:eastAsia="Times New Roman"/>
          <w:b w:val="0"/>
          <w:color w:val="000000"/>
          <w:sz w:val="20"/>
        </w:rPr>
        <w:t>Re-estimating all loadings in the validation cohort is replication of model form, not external validation of the frozen score.</w:t>
      </w:r>
    </w:p>
    <w:p>
      <w:pPr>
        <w:pStyle w:val="Heading2"/>
      </w:pPr>
      <w:r>
        <w:rPr>
          <w:rFonts w:ascii="Times New Roman" w:hAnsi="Times New Roman" w:eastAsia="Times New Roman"/>
          <w:b/>
          <w:color w:val="000000"/>
          <w:sz w:val="22"/>
        </w:rPr>
        <w:t>10. Joint and landmark models</w:t>
      </w:r>
    </w:p>
    <w:p>
      <w:pPr>
        <w:keepLines w:val="0"/>
        <w:jc w:val="both"/>
      </w:pPr>
      <w:r>
        <w:rPr>
          <w:rFonts w:ascii="Times New Roman" w:hAnsi="Times New Roman" w:eastAsia="Times New Roman"/>
          <w:b w:val="0"/>
          <w:color w:val="000000"/>
          <w:sz w:val="20"/>
        </w:rPr>
        <w:t xml:space="preserve">A shared-random-effects joint model links the longitudinal </w:t>
      </w:r>
      <m:oMath>
        <m:r>
          <m:rPr>
            <m:nor/>
          </m:rPr>
          <m:t>L</m:t>
        </m:r>
        <m:r>
          <m:rPr>
            <m:nor/>
          </m:rPr>
          <m:t>(</m:t>
        </m:r>
        <m:r>
          <m:rPr>
            <m:nor/>
          </m:rPr>
          <m:t>t</m:t>
        </m:r>
        <m:r>
          <m:rPr>
            <m:nor/>
          </m:rPr>
          <m:t>)</m:t>
        </m:r>
      </m:oMath>
      <w:r>
        <w:rPr>
          <w:rFonts w:ascii="Times New Roman" w:hAnsi="Times New Roman" w:eastAsia="Times New Roman"/>
          <w:b w:val="0"/>
          <w:color w:val="000000"/>
          <w:sz w:val="20"/>
        </w:rPr>
        <w:t xml:space="preserve"> trajectory, interval-censored phenoconversion, and informative dropout. The shared association parameter estimates whether a lower level or more negative slope of </w:t>
      </w:r>
      <m:oMath>
        <m:r>
          <m:rPr>
            <m:nor/>
          </m:rPr>
          <m:t>L</m:t>
        </m:r>
      </m:oMath>
      <w:r>
        <w:rPr>
          <w:rFonts w:ascii="Times New Roman" w:hAnsi="Times New Roman" w:eastAsia="Times New Roman"/>
          <w:b w:val="0"/>
          <w:color w:val="000000"/>
          <w:sz w:val="20"/>
        </w:rPr>
        <w:t xml:space="preserve"> is associated with higher subsequent conversion hazard.</w:t>
      </w:r>
    </w:p>
    <w:p>
      <w:pPr>
        <w:keepLines w:val="0"/>
        <w:jc w:val="both"/>
      </w:pPr>
      <w:r>
        <w:rPr>
          <w:rFonts w:ascii="Times New Roman" w:hAnsi="Times New Roman" w:eastAsia="Times New Roman"/>
          <w:b w:val="0"/>
          <w:color w:val="000000"/>
          <w:sz w:val="20"/>
        </w:rPr>
        <w:t xml:space="preserve">The prespecified landmark analysis includes participants event-free at month 12 and uses only baseline-to-month-12 biomarker change to predict events after month 12. Events before or at the landmark are excluded from that estimand and reported separately. These analyses test temporal ordering, not proof that </w:t>
      </w:r>
      <m:oMath>
        <m:r>
          <m:rPr>
            <m:nor/>
          </m:rPr>
          <m:t>L</m:t>
        </m:r>
      </m:oMath>
      <w:r>
        <w:rPr>
          <w:rFonts w:ascii="Times New Roman" w:hAnsi="Times New Roman" w:eastAsia="Times New Roman"/>
          <w:b w:val="0"/>
          <w:color w:val="000000"/>
          <w:sz w:val="20"/>
        </w:rPr>
        <w:t xml:space="preserve"> mediates an exposure effect.</w:t>
      </w:r>
    </w:p>
    <w:p>
      <w:pPr>
        <w:pStyle w:val="Heading2"/>
      </w:pPr>
      <w:r>
        <w:rPr>
          <w:rFonts w:ascii="Times New Roman" w:hAnsi="Times New Roman" w:eastAsia="Times New Roman"/>
          <w:b/>
          <w:color w:val="000000"/>
          <w:sz w:val="22"/>
        </w:rPr>
        <w:t>11. Missing data, intercurrent events, and measurement error</w:t>
      </w:r>
    </w:p>
    <w:p>
      <w:pPr>
        <w:pStyle w:val="Heading3"/>
      </w:pPr>
      <w:r>
        <w:rPr>
          <w:rFonts w:ascii="Times New Roman" w:hAnsi="Times New Roman" w:eastAsia="Times New Roman"/>
          <w:b/>
          <w:color w:val="000000"/>
          <w:sz w:val="20"/>
        </w:rPr>
        <w:t>11.1 Missing outcomes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The interval-censored model naturally incorporates missed visits followed by a later event; the interval spans the last definite preataxic and first qualifying manifest visit.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Permanent dropout is right-censored at the last definite state in the primary model.</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Inverse-probability-of-censoring weights use baseline and prior observed clinical, biomarker, travel, and socioeconomic variables.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Longitudinal mixed models provide valid inference under their missing-at-random assumptions; no last-observation-carried-forward analysis is permitted.</w:t>
      </w:r>
    </w:p>
    <w:p>
      <w:pPr>
        <w:pStyle w:val="Heading3"/>
      </w:pPr>
      <w:r>
        <w:rPr>
          <w:rFonts w:ascii="Times New Roman" w:hAnsi="Times New Roman" w:eastAsia="Times New Roman"/>
          <w:b/>
          <w:color w:val="000000"/>
          <w:sz w:val="20"/>
        </w:rPr>
        <w:t>11.2 Missing covariates</w:t>
      </w:r>
    </w:p>
    <w:p>
      <w:pPr>
        <w:keepLines w:val="0"/>
        <w:jc w:val="both"/>
      </w:pPr>
      <w:r>
        <w:rPr>
          <w:rFonts w:ascii="Times New Roman" w:hAnsi="Times New Roman" w:eastAsia="Times New Roman"/>
          <w:b w:val="0"/>
          <w:color w:val="000000"/>
          <w:sz w:val="20"/>
        </w:rPr>
        <w:t xml:space="preserve">Essentially complete genotype and repeat-length data are expected. Other missing baseline covariates use multilevel multiple imputation with at least 50 datasets, including site, family, exposure, outcome history, and auxiliary predictors. The primary </w:t>
      </w:r>
      <m:oMath>
        <m:r>
          <m:rPr>
            <m:nor/>
          </m:rPr>
          <m:t>E</m:t>
        </m:r>
        <m:r>
          <m:rPr>
            <m:nor/>
          </m:rPr>
          <m:t>*</m:t>
        </m:r>
      </m:oMath>
      <w:r>
        <w:rPr>
          <w:rFonts w:ascii="Times New Roman" w:hAnsi="Times New Roman" w:eastAsia="Times New Roman"/>
          <w:b w:val="0"/>
          <w:color w:val="000000"/>
          <w:sz w:val="20"/>
        </w:rPr>
        <w:t xml:space="preserve"> is not imputed for a participant who fails the individual address-coverage rule; regression-calibrated or imputed exposure is sensitivity analysis only.</w:t>
      </w:r>
    </w:p>
    <w:p>
      <w:pPr>
        <w:pStyle w:val="Heading3"/>
      </w:pPr>
      <w:r>
        <w:rPr>
          <w:rFonts w:ascii="Times New Roman" w:hAnsi="Times New Roman" w:eastAsia="Times New Roman"/>
          <w:b/>
          <w:color w:val="000000"/>
          <w:sz w:val="20"/>
        </w:rPr>
        <w:t>11.3 Missing not at random</w:t>
      </w:r>
    </w:p>
    <w:p>
      <w:pPr>
        <w:keepLines w:val="0"/>
        <w:jc w:val="both"/>
      </w:pPr>
      <w:r>
        <w:rPr>
          <w:rFonts w:ascii="Times New Roman" w:hAnsi="Times New Roman" w:eastAsia="Times New Roman"/>
          <w:b w:val="0"/>
          <w:color w:val="000000"/>
          <w:sz w:val="20"/>
        </w:rPr>
        <w:t xml:space="preserve">Delta-adjusted pattern-mixture analyses shift unobserved SARA, NfL, and </w:t>
      </w:r>
      <m:oMath>
        <m:r>
          <m:rPr>
            <m:nor/>
          </m:rPr>
          <m:t>L</m:t>
        </m:r>
      </m:oMath>
      <w:r>
        <w:rPr>
          <w:rFonts w:ascii="Times New Roman" w:hAnsi="Times New Roman" w:eastAsia="Times New Roman"/>
          <w:b w:val="0"/>
          <w:color w:val="000000"/>
          <w:sz w:val="20"/>
        </w:rPr>
        <w:t xml:space="preserve"> trajectories toward worse outcomes among dropouts. Tipping-point plots identify departures from missing at random required to reverse conclusions. Death and inability to walk are modelled as observed states or competing events, not generic missingness.</w:t>
      </w:r>
    </w:p>
    <w:p>
      <w:pPr>
        <w:keepLines w:val="0"/>
        <w:jc w:val="both"/>
      </w:pPr>
      <w:r>
        <w:rPr>
          <w:rFonts w:ascii="Times New Roman" w:hAnsi="Times New Roman" w:eastAsia="Times New Roman"/>
          <w:b w:val="0"/>
          <w:color w:val="000000"/>
          <w:sz w:val="20"/>
        </w:rPr>
        <w:t>For the primary phenoconversion outcome, inverse-probability-of-censoring weights address dropout that is conditionally independent given observed history. Informative-loss sensitivity analyses then multiply the post-dropout conversion hazard by prespecified delta values of 0.5, 1, 2, and 4, allow delta to differ by genotype and exposure region, and fit a shared-parameter dropout/phenoconversion model. Extreme bounds assume conversion immediately after last confirmed preataxic status or no conversion before the five-year horizon. A tipping plot reports the smallest delta combination that changes the H1 or H2 conclusion.</w:t>
      </w:r>
    </w:p>
    <w:p>
      <w:pPr>
        <w:pStyle w:val="Heading3"/>
      </w:pPr>
      <w:r>
        <w:rPr>
          <w:rFonts w:ascii="Times New Roman" w:hAnsi="Times New Roman" w:eastAsia="Times New Roman"/>
          <w:b/>
          <w:color w:val="000000"/>
          <w:sz w:val="20"/>
        </w:rPr>
        <w:t>11.4 Intercurrent treatment</w:t>
      </w:r>
    </w:p>
    <w:p>
      <w:pPr>
        <w:keepLines w:val="0"/>
        <w:jc w:val="both"/>
      </w:pPr>
      <w:r>
        <w:rPr>
          <w:rFonts w:ascii="Times New Roman" w:hAnsi="Times New Roman" w:eastAsia="Times New Roman"/>
          <w:b w:val="0"/>
          <w:color w:val="000000"/>
          <w:sz w:val="20"/>
        </w:rPr>
        <w:t>Entry into a therapeutic trial, initiation of a disease-targeted agent, major rehabilitation change, or neuromodulation is recorded with date and indication. The primary phenoconversion analysis follows participants regardless of treatment when data remain available and adds treatment as a time-varying sensitivity covariate. A censor-at-treatment analysis with inverse censoring weights is secondary. Post-treatment biomarkers are not silently mixed with untreated natural history.</w:t>
      </w:r>
    </w:p>
    <w:p>
      <w:pPr>
        <w:pStyle w:val="Heading3"/>
      </w:pPr>
      <w:r>
        <w:rPr>
          <w:rFonts w:ascii="Times New Roman" w:hAnsi="Times New Roman" w:eastAsia="Times New Roman"/>
          <w:b/>
          <w:color w:val="000000"/>
          <w:sz w:val="20"/>
        </w:rPr>
        <w:t>11.5 Exposure measurement error</w:t>
      </w:r>
    </w:p>
    <w:p>
      <w:pPr>
        <w:keepLines w:val="0"/>
        <w:jc w:val="both"/>
      </w:pPr>
      <w:r>
        <w:rPr>
          <w:rFonts w:ascii="Times New Roman" w:hAnsi="Times New Roman" w:eastAsia="Times New Roman"/>
          <w:b w:val="0"/>
          <w:color w:val="000000"/>
          <w:sz w:val="20"/>
        </w:rPr>
        <w:t>Reliability is estimated from the nested repeated-exposure substudy. Regression calibration is the primary measurement-error sensitivity analysis; SIMEX or a Bayesian error model provides a second analysis. Region-specific calibration and leave-one-region-out estimates assess whether a pooled curve is driven by incompatible measurement systems.</w:t>
      </w:r>
    </w:p>
    <w:p>
      <w:pPr>
        <w:pStyle w:val="Heading2"/>
      </w:pPr>
      <w:r>
        <w:rPr>
          <w:rFonts w:ascii="Times New Roman" w:hAnsi="Times New Roman" w:eastAsia="Times New Roman"/>
          <w:b/>
          <w:color w:val="000000"/>
          <w:sz w:val="22"/>
        </w:rPr>
        <w:t>12. Sensitivity analyses</w:t>
      </w:r>
    </w:p>
    <w:p>
      <w:pPr>
        <w:keepLines w:val="0"/>
        <w:jc w:val="both"/>
      </w:pPr>
      <w:r>
        <w:rPr>
          <w:rFonts w:ascii="Times New Roman" w:hAnsi="Times New Roman" w:eastAsia="Times New Roman"/>
          <w:b w:val="0"/>
          <w:color w:val="000000"/>
          <w:sz w:val="20"/>
        </w:rPr>
        <w:t>The following analyses are prespecified and cannot replace the primary result:</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RISCA-compatible first SARA 3 or greater as the event.</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First centrally adjudicated gait ataxia without the sustained-confirmation requirement.</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val="0"/>
          <w:color w:val="000000"/>
          <w:sz w:val="20"/>
        </w:rPr>
        <w:t>Exclusion of events in the first 12 months to reduce reverse causation and baseline misclassification.</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val="0"/>
          <w:color w:val="000000"/>
          <w:sz w:val="20"/>
        </w:rPr>
        <w:t>Alternative exposure lags of 0, 10, and 20 years; childhood and adult windows.</w:t>
      </w:r>
    </w:p>
    <w:p>
      <w:pPr>
        <w:spacing w:after="60" w:line="276" w:lineRule="auto"/>
        <w:ind w:left="360" w:hanging="259"/>
      </w:pPr>
      <w:r>
        <w:rPr>
          <w:rFonts w:ascii="Times New Roman" w:hAnsi="Times New Roman" w:eastAsia="Times New Roman"/>
          <w:color w:val="000000"/>
          <w:sz w:val="20"/>
        </w:rPr>
        <w:t xml:space="preserve">5. </w:t>
      </w:r>
      <w:r>
        <w:rPr>
          <w:rFonts w:ascii="Times New Roman" w:hAnsi="Times New Roman" w:eastAsia="Times New Roman"/>
          <w:b w:val="0"/>
          <w:color w:val="000000"/>
          <w:sz w:val="20"/>
        </w:rPr>
        <w:t>Linear exposure, quadratic exposure, and a segmented threshold model compared with the frozen spline. Breakpoints are exploratory.</w:t>
      </w:r>
    </w:p>
    <w:p>
      <w:pPr>
        <w:spacing w:after="60" w:line="276" w:lineRule="auto"/>
        <w:ind w:left="360" w:hanging="259"/>
      </w:pPr>
      <w:r>
        <w:rPr>
          <w:rFonts w:ascii="Times New Roman" w:hAnsi="Times New Roman" w:eastAsia="Times New Roman"/>
          <w:color w:val="000000"/>
          <w:sz w:val="20"/>
        </w:rPr>
        <w:t xml:space="preserve">6. </w:t>
      </w:r>
      <w:r>
        <w:rPr>
          <w:rFonts w:ascii="Times New Roman" w:hAnsi="Times New Roman" w:eastAsia="Times New Roman"/>
          <w:b w:val="0"/>
          <w:color w:val="000000"/>
          <w:sz w:val="20"/>
        </w:rPr>
        <w:t>Family fixed-effect analysis among informative sibling groups.</w:t>
      </w:r>
    </w:p>
    <w:p>
      <w:pPr>
        <w:spacing w:after="60" w:line="276" w:lineRule="auto"/>
        <w:ind w:left="360" w:hanging="259"/>
      </w:pPr>
      <w:r>
        <w:rPr>
          <w:rFonts w:ascii="Times New Roman" w:hAnsi="Times New Roman" w:eastAsia="Times New Roman"/>
          <w:color w:val="000000"/>
          <w:sz w:val="20"/>
        </w:rPr>
        <w:t xml:space="preserve">7. </w:t>
      </w:r>
      <w:r>
        <w:rPr>
          <w:rFonts w:ascii="Times New Roman" w:hAnsi="Times New Roman" w:eastAsia="Times New Roman"/>
          <w:b w:val="0"/>
          <w:color w:val="000000"/>
          <w:sz w:val="20"/>
        </w:rPr>
        <w:t>Weighted and unweighted analyses for onset-window oversampling.</w:t>
      </w:r>
    </w:p>
    <w:p>
      <w:pPr>
        <w:spacing w:after="60" w:line="276" w:lineRule="auto"/>
        <w:ind w:left="360" w:hanging="259"/>
      </w:pPr>
      <w:r>
        <w:rPr>
          <w:rFonts w:ascii="Times New Roman" w:hAnsi="Times New Roman" w:eastAsia="Times New Roman"/>
          <w:color w:val="000000"/>
          <w:sz w:val="20"/>
        </w:rPr>
        <w:t xml:space="preserve">8. </w:t>
      </w:r>
      <w:r>
        <w:rPr>
          <w:rFonts w:ascii="Times New Roman" w:hAnsi="Times New Roman" w:eastAsia="Times New Roman"/>
          <w:b w:val="0"/>
          <w:color w:val="000000"/>
          <w:sz w:val="20"/>
        </w:rPr>
        <w:t>Competing-risk cumulative incidence and an illness–death multistate model.</w:t>
      </w:r>
    </w:p>
    <w:p>
      <w:pPr>
        <w:spacing w:after="60" w:line="276" w:lineRule="auto"/>
        <w:ind w:left="360" w:hanging="259"/>
      </w:pPr>
      <w:r>
        <w:rPr>
          <w:rFonts w:ascii="Times New Roman" w:hAnsi="Times New Roman" w:eastAsia="Times New Roman"/>
          <w:color w:val="000000"/>
          <w:sz w:val="20"/>
        </w:rPr>
        <w:t xml:space="preserve">9. </w:t>
      </w:r>
      <w:r>
        <w:rPr>
          <w:rFonts w:ascii="Times New Roman" w:hAnsi="Times New Roman" w:eastAsia="Times New Roman"/>
          <w:b w:val="0"/>
          <w:color w:val="000000"/>
          <w:sz w:val="20"/>
        </w:rPr>
        <w:t>Complete-case, multiple-imputation, censoring-weighted, and pattern-mixture analyses.</w:t>
      </w:r>
    </w:p>
    <w:p>
      <w:pPr>
        <w:spacing w:after="60" w:line="276" w:lineRule="auto"/>
        <w:ind w:left="360" w:hanging="259"/>
      </w:pPr>
      <w:r>
        <w:rPr>
          <w:rFonts w:ascii="Times New Roman" w:hAnsi="Times New Roman" w:eastAsia="Times New Roman"/>
          <w:color w:val="000000"/>
          <w:sz w:val="20"/>
        </w:rPr>
        <w:t xml:space="preserve">10. </w:t>
      </w:r>
      <w:r>
        <w:rPr>
          <w:rFonts w:ascii="Times New Roman" w:hAnsi="Times New Roman" w:eastAsia="Times New Roman"/>
          <w:b w:val="0"/>
          <w:color w:val="000000"/>
          <w:sz w:val="20"/>
        </w:rPr>
        <w:t>Regression calibration/SIMEX for exposure error.</w:t>
      </w:r>
    </w:p>
    <w:p>
      <w:pPr>
        <w:spacing w:after="60" w:line="276" w:lineRule="auto"/>
        <w:ind w:left="360" w:hanging="259"/>
      </w:pPr>
      <w:r>
        <w:rPr>
          <w:rFonts w:ascii="Times New Roman" w:hAnsi="Times New Roman" w:eastAsia="Times New Roman"/>
          <w:color w:val="000000"/>
          <w:sz w:val="20"/>
        </w:rPr>
        <w:t xml:space="preserve">11. </w:t>
      </w:r>
      <w:r>
        <w:rPr>
          <w:rFonts w:ascii="Times New Roman" w:hAnsi="Times New Roman" w:eastAsia="Times New Roman"/>
          <w:b w:val="0"/>
          <w:color w:val="000000"/>
          <w:sz w:val="20"/>
        </w:rPr>
        <w:t>Leave-one-site and leave-one-region-out influence analyses.</w:t>
      </w:r>
    </w:p>
    <w:p>
      <w:pPr>
        <w:spacing w:after="60" w:line="276" w:lineRule="auto"/>
        <w:ind w:left="360" w:hanging="259"/>
      </w:pPr>
      <w:r>
        <w:rPr>
          <w:rFonts w:ascii="Times New Roman" w:hAnsi="Times New Roman" w:eastAsia="Times New Roman"/>
          <w:color w:val="000000"/>
          <w:sz w:val="20"/>
        </w:rPr>
        <w:t xml:space="preserve">12. </w:t>
      </w:r>
      <w:r>
        <w:rPr>
          <w:rFonts w:ascii="Times New Roman" w:hAnsi="Times New Roman" w:eastAsia="Times New Roman"/>
          <w:b w:val="0"/>
          <w:color w:val="000000"/>
          <w:sz w:val="20"/>
        </w:rPr>
        <w:t>Models with baseline subthreshold SARA, NfL, or MRI added for prognostic comparison, explicitly not interpreted as total exposure effects.</w:t>
      </w:r>
    </w:p>
    <w:p>
      <w:pPr>
        <w:spacing w:after="60" w:line="276" w:lineRule="auto"/>
        <w:ind w:left="360" w:hanging="259"/>
      </w:pPr>
      <w:r>
        <w:rPr>
          <w:rFonts w:ascii="Times New Roman" w:hAnsi="Times New Roman" w:eastAsia="Times New Roman"/>
          <w:color w:val="000000"/>
          <w:sz w:val="20"/>
        </w:rPr>
        <w:t xml:space="preserve">13. </w:t>
      </w:r>
      <w:r>
        <w:rPr>
          <w:rFonts w:ascii="Times New Roman" w:hAnsi="Times New Roman" w:eastAsia="Times New Roman"/>
          <w:b w:val="0"/>
          <w:color w:val="000000"/>
          <w:sz w:val="20"/>
        </w:rPr>
        <w:t>Negative-control outcomes and exposures selected in the frozen causal diagram, where scientifically credible.</w:t>
      </w:r>
    </w:p>
    <w:p>
      <w:pPr>
        <w:spacing w:after="60" w:line="276" w:lineRule="auto"/>
        <w:ind w:left="360" w:hanging="259"/>
      </w:pPr>
      <w:r>
        <w:rPr>
          <w:rFonts w:ascii="Times New Roman" w:hAnsi="Times New Roman" w:eastAsia="Times New Roman"/>
          <w:color w:val="000000"/>
          <w:sz w:val="20"/>
        </w:rPr>
        <w:t xml:space="preserve">14. </w:t>
      </w:r>
      <w:r>
        <w:rPr>
          <w:rFonts w:ascii="Times New Roman" w:hAnsi="Times New Roman" w:eastAsia="Times New Roman"/>
          <w:b w:val="0"/>
          <w:color w:val="000000"/>
          <w:sz w:val="20"/>
        </w:rPr>
        <w:t>Calculation of residual age at onset only as a descriptive comparison using an entirely external onset model; converters-only RAO regression is not a confirmatory analysis.</w:t>
      </w:r>
    </w:p>
    <w:p>
      <w:pPr>
        <w:pStyle w:val="Heading2"/>
      </w:pPr>
      <w:r>
        <w:rPr>
          <w:rFonts w:ascii="Times New Roman" w:hAnsi="Times New Roman" w:eastAsia="Times New Roman"/>
          <w:b/>
          <w:color w:val="000000"/>
          <w:sz w:val="22"/>
        </w:rPr>
        <w:t>13. Nested model comparison and external validation</w:t>
      </w:r>
    </w:p>
    <w:p>
      <w:pPr>
        <w:keepLines w:val="0"/>
        <w:jc w:val="both"/>
      </w:pPr>
      <w:r>
        <w:rPr>
          <w:rFonts w:ascii="Times New Roman" w:hAnsi="Times New Roman" w:eastAsia="Times New Roman"/>
          <w:b w:val="0"/>
          <w:color w:val="000000"/>
          <w:sz w:val="20"/>
        </w:rPr>
        <w:t>Prediction models are distinct from the primary etiologic model:</w:t>
      </w:r>
    </w:p>
    <w:p>
      <w:pPr>
        <w:spacing w:after="60" w:line="276" w:lineRule="auto"/>
        <w:ind w:left="360" w:hanging="259"/>
      </w:pPr>
      <w:r>
        <w:rPr>
          <w:rFonts w:ascii="Times New Roman" w:hAnsi="Times New Roman" w:eastAsia="Times New Roman"/>
          <w:color w:val="000000"/>
          <w:sz w:val="20"/>
        </w:rPr>
        <w:t xml:space="preserve">• </w:t>
      </w:r>
      <m:oMath>
        <m:r>
          <m:rPr>
            <m:nor/>
          </m:rPr>
          <m:t>M0</m:t>
        </m:r>
      </m:oMath>
      <w:r>
        <w:rPr>
          <w:rFonts w:ascii="Times New Roman" w:hAnsi="Times New Roman" w:eastAsia="Times New Roman"/>
          <w:b w:val="0"/>
          <w:color w:val="000000"/>
          <w:sz w:val="20"/>
        </w:rPr>
        <w:t>: age time scale, genotype, repeat lengths, sex, ancestry, birth cohort, site/region, and frozen clinical covariates;</w:t>
      </w:r>
    </w:p>
    <w:p>
      <w:pPr>
        <w:spacing w:after="60" w:line="276" w:lineRule="auto"/>
        <w:ind w:left="360" w:hanging="259"/>
      </w:pPr>
      <w:r>
        <w:rPr>
          <w:rFonts w:ascii="Times New Roman" w:hAnsi="Times New Roman" w:eastAsia="Times New Roman"/>
          <w:color w:val="000000"/>
          <w:sz w:val="20"/>
        </w:rPr>
        <w:t xml:space="preserve">• </w:t>
      </w:r>
      <m:oMath>
        <m:r>
          <m:rPr>
            <m:nor/>
          </m:rPr>
          <m:t>M1</m:t>
        </m:r>
      </m:oMath>
      <w:r>
        <w:rPr>
          <w:rFonts w:ascii="Times New Roman" w:hAnsi="Times New Roman" w:eastAsia="Times New Roman"/>
          <w:b w:val="0"/>
          <w:color w:val="000000"/>
          <w:sz w:val="20"/>
        </w:rPr>
        <w:t xml:space="preserve">: </w:t>
      </w:r>
      <m:oMath>
        <m:r>
          <m:rPr>
            <m:nor/>
          </m:rPr>
          <m:t>M0</m:t>
        </m:r>
      </m:oMath>
      <w:r>
        <w:rPr>
          <w:rFonts w:ascii="Times New Roman" w:hAnsi="Times New Roman" w:eastAsia="Times New Roman"/>
          <w:b w:val="0"/>
          <w:color w:val="000000"/>
          <w:sz w:val="20"/>
        </w:rPr>
        <w:t xml:space="preserve"> plus the frozen biomarker state </w:t>
      </w:r>
      <m:oMath>
        <m:r>
          <m:rPr>
            <m:nor/>
          </m:rPr>
          <m:t>L</m:t>
        </m:r>
        <m:r>
          <m:rPr>
            <m:nor/>
          </m:rPr>
          <m:t>(</m:t>
        </m:r>
        <m:r>
          <m:rPr>
            <m:nor/>
          </m:rPr>
          <m:t>t</m:t>
        </m:r>
        <m:r>
          <m:rPr>
            <m:nor/>
          </m:rPr>
          <m:t>)</m:t>
        </m:r>
      </m:oMath>
      <w:r>
        <w:rPr>
          <w:rFonts w:ascii="Times New Roman" w:hAnsi="Times New Roman" w:eastAsia="Times New Roman"/>
          <w:b w:val="0"/>
          <w:color w:val="000000"/>
          <w:sz w:val="20"/>
        </w:rPr>
        <w:t>;</w:t>
      </w:r>
    </w:p>
    <w:p>
      <w:pPr>
        <w:spacing w:after="60" w:line="276" w:lineRule="auto"/>
        <w:ind w:left="360" w:hanging="259"/>
      </w:pPr>
      <w:r>
        <w:rPr>
          <w:rFonts w:ascii="Times New Roman" w:hAnsi="Times New Roman" w:eastAsia="Times New Roman"/>
          <w:color w:val="000000"/>
          <w:sz w:val="20"/>
        </w:rPr>
        <w:t xml:space="preserve">• </w:t>
      </w:r>
      <m:oMath>
        <m:r>
          <m:rPr>
            <m:nor/>
          </m:rPr>
          <m:t>M2</m:t>
        </m:r>
      </m:oMath>
      <w:r>
        <w:rPr>
          <w:rFonts w:ascii="Times New Roman" w:hAnsi="Times New Roman" w:eastAsia="Times New Roman"/>
          <w:b w:val="0"/>
          <w:color w:val="000000"/>
          <w:sz w:val="20"/>
        </w:rPr>
        <w:t xml:space="preserve">: </w:t>
      </w:r>
      <m:oMath>
        <m:r>
          <m:rPr>
            <m:nor/>
          </m:rPr>
          <m:t>M1</m:t>
        </m:r>
      </m:oMath>
      <w:r>
        <w:rPr>
          <w:rFonts w:ascii="Times New Roman" w:hAnsi="Times New Roman" w:eastAsia="Times New Roman"/>
          <w:b w:val="0"/>
          <w:color w:val="000000"/>
          <w:sz w:val="20"/>
        </w:rPr>
        <w:t xml:space="preserve"> plus the frozen </w:t>
      </w:r>
      <m:oMath>
        <m:r>
          <m:rPr>
            <m:nor/>
          </m:rPr>
          <m:t>S</m:t>
        </m:r>
        <m:r>
          <m:rPr>
            <m:nor/>
          </m:rPr>
          <m:t>*</m:t>
        </m:r>
      </m:oMath>
      <w:r>
        <w:rPr>
          <w:rFonts w:ascii="Times New Roman" w:hAnsi="Times New Roman" w:eastAsia="Times New Roman"/>
          <w:b w:val="0"/>
          <w:color w:val="000000"/>
          <w:sz w:val="20"/>
        </w:rPr>
        <w:t xml:space="preserve"> spline and genotype-by-</w:t>
      </w:r>
      <m:oMath>
        <m:r>
          <m:rPr>
            <m:nor/>
          </m:rPr>
          <m:t>S</m:t>
        </m:r>
        <m:r>
          <m:rPr>
            <m:nor/>
          </m:rPr>
          <m:t>*</m:t>
        </m:r>
      </m:oMath>
      <w:r>
        <w:rPr>
          <w:rFonts w:ascii="Times New Roman" w:hAnsi="Times New Roman" w:eastAsia="Times New Roman"/>
          <w:b w:val="0"/>
          <w:color w:val="000000"/>
          <w:sz w:val="20"/>
        </w:rPr>
        <w:t xml:space="preserve"> interaction.</w:t>
      </w:r>
    </w:p>
    <w:p>
      <w:pPr>
        <w:keepLines w:val="0"/>
        <w:jc w:val="both"/>
      </w:pPr>
      <w:r>
        <w:rPr>
          <w:rFonts w:ascii="Times New Roman" w:hAnsi="Times New Roman" w:eastAsia="Times New Roman"/>
          <w:b w:val="0"/>
          <w:color w:val="000000"/>
          <w:sz w:val="20"/>
        </w:rPr>
        <w:t xml:space="preserve">Optimism is estimated by bootstrap in development and internal-external cross-validation by site. Final coefficients are frozen before the external cohort is opened. External validation reports calibration-in-the-large, calibration slope, Brier score, AUC, and genotype-specific performance. Intercept or baseline-hazard recalibration, if performed, is reported separately from the unrecalibrated result. Moving knots, redefining the middle region, or refitting </w:t>
      </w:r>
      <m:oMath>
        <m:r>
          <m:rPr>
            <m:nor/>
          </m:rPr>
          <m:t>L</m:t>
        </m:r>
      </m:oMath>
      <w:r>
        <w:rPr>
          <w:rFonts w:ascii="Times New Roman" w:hAnsi="Times New Roman" w:eastAsia="Times New Roman"/>
          <w:b w:val="0"/>
          <w:color w:val="000000"/>
          <w:sz w:val="20"/>
        </w:rPr>
        <w:t xml:space="preserve"> loadings is not allowed in the primary external test.</w:t>
      </w:r>
    </w:p>
    <w:p>
      <w:pPr>
        <w:keepLines w:val="0"/>
        <w:jc w:val="both"/>
      </w:pPr>
      <w:r>
        <w:rPr>
          <w:rFonts w:ascii="Times New Roman" w:hAnsi="Times New Roman" w:eastAsia="Times New Roman"/>
          <w:b w:val="0"/>
          <w:color w:val="000000"/>
          <w:sz w:val="20"/>
        </w:rPr>
        <w:t xml:space="preserve">The non-linear environment model is not considered transported merely because </w:t>
      </w:r>
      <m:oMath>
        <m:r>
          <m:rPr>
            <m:nor/>
          </m:rPr>
          <m:t>M2</m:t>
        </m:r>
      </m:oMath>
      <w:r>
        <w:rPr>
          <w:rFonts w:ascii="Times New Roman" w:hAnsi="Times New Roman" w:eastAsia="Times New Roman"/>
          <w:b w:val="0"/>
          <w:color w:val="000000"/>
          <w:sz w:val="20"/>
        </w:rPr>
        <w:t xml:space="preserve"> has a lower development-sample AIC. It must improve external calibration or prediction and reproduce the direction and approximate location of the prespecified risk region. Even successful transport does not identify a gate, uptake, leakage, or reserve mechanism.</w:t>
      </w:r>
    </w:p>
    <w:p>
      <w:pPr>
        <w:pStyle w:val="Heading2"/>
      </w:pPr>
      <w:r>
        <w:rPr>
          <w:rFonts w:ascii="Times New Roman" w:hAnsi="Times New Roman" w:eastAsia="Times New Roman"/>
          <w:b/>
          <w:color w:val="000000"/>
          <w:sz w:val="22"/>
        </w:rPr>
        <w:t>14. Sample size and power</w:t>
      </w:r>
    </w:p>
    <w:p>
      <w:pPr>
        <w:pStyle w:val="Heading3"/>
      </w:pPr>
      <w:r>
        <w:rPr>
          <w:rFonts w:ascii="Times New Roman" w:hAnsi="Times New Roman" w:eastAsia="Times New Roman"/>
          <w:b/>
          <w:color w:val="000000"/>
          <w:sz w:val="20"/>
        </w:rPr>
        <w:t>14.1 Event requirement for a continuous exposure</w:t>
      </w:r>
    </w:p>
    <w:p>
      <w:pPr>
        <w:keepLines w:val="0"/>
        <w:jc w:val="both"/>
      </w:pPr>
      <w:r>
        <w:rPr>
          <w:rFonts w:ascii="Times New Roman" w:hAnsi="Times New Roman" w:eastAsia="Times New Roman"/>
          <w:b w:val="0"/>
          <w:color w:val="000000"/>
          <w:sz w:val="20"/>
        </w:rPr>
        <w:t>For a standardized continuous exposure, the Schoenfeld planning approximation is:</w:t>
      </w:r>
    </w:p>
    <w:p>
      <w:pPr>
        <w:keepLines/>
        <w:spacing w:before="80" w:after="120"/>
        <w:jc w:val="center"/>
      </w:pPr>
      <m:oMath>
        <m:r>
          <m:rPr>
            <m:nor/>
          </m:rPr>
          <m:t>D</m:t>
        </m:r>
        <m:r>
          <m:rPr>
            <m:nor/>
          </m:rPr>
          <m:t>=</m:t>
        </m:r>
        <m:f>
          <m:num>
            <m:r>
              <m:rPr>
                <m:nor/>
              </m:rPr>
              <m:t> </m:t>
            </m:r>
            <m:r>
              <m:rPr>
                <m:nor/>
              </m:rPr>
              <m:t>(</m:t>
            </m:r>
            <m:sSub>
              <m:e>
                <m:r>
                  <m:rPr>
                    <m:nor/>
                  </m:rPr>
                  <m:t>z</m:t>
                </m:r>
              </m:e>
              <m:sub>
                <m:r>
                  <m:rPr>
                    <m:nor/>
                  </m:rPr>
                  <m:t>1</m:t>
                </m:r>
                <m:r>
                  <m:rPr>
                    <m:nor/>
                  </m:rPr>
                  <m:t>-</m:t>
                </m:r>
                <m:r>
                  <m:rPr>
                    <m:nor/>
                  </m:rPr>
                  <m:t>α</m:t>
                </m:r>
                <m:r>
                  <m:rPr>
                    <m:nor/>
                  </m:rPr>
                  <m:t>/</m:t>
                </m:r>
                <m:r>
                  <m:rPr>
                    <m:nor/>
                  </m:rPr>
                  <m:t>2</m:t>
                </m:r>
              </m:sub>
            </m:sSub>
            <m:r>
              <m:rPr>
                <m:nor/>
              </m:rPr>
              <m:t>+</m:t>
            </m:r>
            <m:sSub>
              <m:e>
                <m:r>
                  <m:rPr>
                    <m:nor/>
                  </m:rPr>
                  <m:t>z</m:t>
                </m:r>
              </m:e>
              <m:sub>
                <m:r>
                  <m:rPr>
                    <m:nor/>
                  </m:rPr>
                  <m:t>1</m:t>
                </m:r>
                <m:r>
                  <m:rPr>
                    <m:nor/>
                  </m:rPr>
                  <m:t>-</m:t>
                </m:r>
                <m:r>
                  <m:rPr>
                    <m:nor/>
                  </m:rPr>
                  <m:t>β</m:t>
                </m:r>
              </m:sub>
            </m:sSub>
            <m:sSup>
              <m:e>
                <m:r>
                  <m:rPr>
                    <m:nor/>
                  </m:rPr>
                  <m:t>)</m:t>
                </m:r>
              </m:e>
              <m:sup>
                <m:r>
                  <m:rPr>
                    <m:nor/>
                  </m:rPr>
                  <m:t>2</m:t>
                </m:r>
              </m:sup>
            </m:sSup>
            <m:r>
              <m:rPr>
                <m:nor/>
              </m:rPr>
              <m:t> </m:t>
            </m:r>
          </m:num>
          <m:den>
            <m:r>
              <m:rPr>
                <m:nor/>
              </m:rPr>
              <m:t> </m:t>
            </m:r>
            <m:r>
              <m:rPr>
                <m:nor/>
              </m:rPr>
              <m:t>(</m:t>
            </m:r>
            <m:r>
              <m:rPr>
                <m:nor/>
              </m:rPr>
              <m:t>log</m:t>
            </m:r>
            <m:r>
              <m:rPr>
                <m:nor/>
              </m:rPr>
              <m:t> </m:t>
            </m:r>
            <m:r>
              <m:rPr>
                <m:nor/>
              </m:rPr>
              <m:t>HR</m:t>
            </m:r>
            <m:sSup>
              <m:e>
                <m:r>
                  <m:rPr>
                    <m:nor/>
                  </m:rPr>
                  <m:t>)</m:t>
                </m:r>
              </m:e>
              <m:sup>
                <m:r>
                  <m:rPr>
                    <m:nor/>
                  </m:rPr>
                  <m:t>2</m:t>
                </m:r>
              </m:sup>
            </m:sSup>
            <m:r>
              <m:rPr>
                <m:nor/>
              </m:rPr>
              <m:t>(</m:t>
            </m:r>
            <m:r>
              <m:rPr>
                <m:nor/>
              </m:rPr>
              <m:t>1</m:t>
            </m:r>
            <m:r>
              <m:rPr>
                <m:nor/>
              </m:rPr>
              <m:t>-</m:t>
            </m:r>
            <m:sSubSup>
              <m:e>
                <m:r>
                  <m:rPr>
                    <m:nor/>
                  </m:rPr>
                  <m:t>R</m:t>
                </m:r>
              </m:e>
              <m:sub>
                <m:r>
                  <m:rPr>
                    <m:nor/>
                  </m:rPr>
                  <m:t>S</m:t>
                </m:r>
              </m:sub>
              <m:sup>
                <m:r>
                  <m:rPr>
                    <m:nor/>
                  </m:rPr>
                  <m:t>2</m:t>
                </m:r>
              </m:sup>
            </m:sSubSup>
            <m:r>
              <m:rPr>
                <m:nor/>
              </m:rPr>
              <m:t>)</m:t>
            </m:r>
            <m:r>
              <m:rPr>
                <m:nor/>
              </m:rPr>
              <m:t> </m:t>
            </m:r>
          </m:den>
        </m:f>
        <m:r>
          <m:rPr>
            <m:nor/>
          </m:rPr>
          <m:t>,</m:t>
        </m:r>
      </m:oMath>
    </w:p>
    <w:p>
      <w:pPr>
        <w:keepLines w:val="0"/>
        <w:jc w:val="both"/>
      </w:pPr>
      <w:r>
        <w:rPr>
          <w:rFonts w:ascii="Times New Roman" w:hAnsi="Times New Roman" w:eastAsia="Times New Roman"/>
          <w:b w:val="0"/>
          <w:color w:val="000000"/>
          <w:sz w:val="20"/>
        </w:rPr>
        <w:t xml:space="preserve">where </w:t>
      </w:r>
      <m:oMath>
        <m:sSubSup>
          <m:e>
            <m:r>
              <m:rPr>
                <m:nor/>
              </m:rPr>
              <m:t>R</m:t>
            </m:r>
          </m:e>
          <m:sub>
            <m:r>
              <m:rPr>
                <m:nor/>
              </m:rPr>
              <m:t>S</m:t>
            </m:r>
          </m:sub>
          <m:sup>
            <m:r>
              <m:rPr>
                <m:nor/>
              </m:rPr>
              <m:t>2</m:t>
            </m:r>
          </m:sup>
        </m:sSubSup>
      </m:oMath>
      <w:r>
        <w:rPr>
          <w:rFonts w:ascii="Times New Roman" w:hAnsi="Times New Roman" w:eastAsia="Times New Roman"/>
          <w:b w:val="0"/>
          <w:color w:val="000000"/>
          <w:sz w:val="20"/>
        </w:rPr>
        <w:t xml:space="preserve"> is the fraction of score variance explained by other model covariates. With </w:t>
      </w:r>
      <m:oMath>
        <m:r>
          <m:rPr>
            <m:nor/>
          </m:rPr>
          <m:t>HR</m:t>
        </m:r>
        <m:r>
          <m:rPr>
            <m:nor/>
          </m:rPr>
          <m:t>=</m:t>
        </m:r>
        <m:r>
          <m:rPr>
            <m:nor/>
          </m:rPr>
          <m:t>1</m:t>
        </m:r>
        <m:r>
          <m:rPr>
            <m:nor/>
          </m:rPr>
          <m:t>.</m:t>
        </m:r>
        <m:r>
          <m:rPr>
            <m:nor/>
          </m:rPr>
          <m:t>5</m:t>
        </m:r>
      </m:oMath>
      <w:r>
        <w:rPr>
          <w:rFonts w:ascii="Times New Roman" w:hAnsi="Times New Roman" w:eastAsia="Times New Roman"/>
          <w:b w:val="0"/>
          <w:color w:val="000000"/>
          <w:sz w:val="20"/>
        </w:rPr>
        <w:t xml:space="preserve">, power 0.90, two-sided </w:t>
      </w:r>
      <m:oMath>
        <m:r>
          <m:rPr>
            <m:nor/>
          </m:rPr>
          <m:t>α</m:t>
        </m:r>
        <m:r>
          <m:rPr>
            <m:nor/>
          </m:rPr>
          <m:t>=</m:t>
        </m:r>
        <m:r>
          <m:rPr>
            <m:nor/>
          </m:rPr>
          <m:t>0</m:t>
        </m:r>
        <m:r>
          <m:rPr>
            <m:nor/>
          </m:rPr>
          <m:t>.</m:t>
        </m:r>
        <m:r>
          <m:rPr>
            <m:nor/>
          </m:rPr>
          <m:t>025</m:t>
        </m:r>
      </m:oMath>
      <w:r>
        <w:rPr>
          <w:rFonts w:ascii="Times New Roman" w:hAnsi="Times New Roman" w:eastAsia="Times New Roman"/>
          <w:b w:val="0"/>
          <w:color w:val="000000"/>
          <w:sz w:val="20"/>
        </w:rPr>
        <w:t xml:space="preserve">, and </w:t>
      </w:r>
      <m:oMath>
        <m:sSubSup>
          <m:e>
            <m:r>
              <m:rPr>
                <m:nor/>
              </m:rPr>
              <m:t>R</m:t>
            </m:r>
          </m:e>
          <m:sub>
            <m:r>
              <m:rPr>
                <m:nor/>
              </m:rPr>
              <m:t>S</m:t>
            </m:r>
          </m:sub>
          <m:sup>
            <m:r>
              <m:rPr>
                <m:nor/>
              </m:rPr>
              <m:t>2</m:t>
            </m:r>
          </m:sup>
        </m:sSubSup>
        <m:r>
          <m:rPr>
            <m:nor/>
          </m:rPr>
          <m:t>=</m:t>
        </m:r>
        <m:r>
          <m:rPr>
            <m:nor/>
          </m:rPr>
          <m:t>0</m:t>
        </m:r>
        <m:r>
          <m:rPr>
            <m:nor/>
          </m:rPr>
          <m:t>.</m:t>
        </m:r>
        <m:r>
          <m:rPr>
            <m:nor/>
          </m:rPr>
          <m:t>30</m:t>
        </m:r>
      </m:oMath>
      <w:r>
        <w:rPr>
          <w:rFonts w:ascii="Times New Roman" w:hAnsi="Times New Roman" w:eastAsia="Times New Roman"/>
          <w:b w:val="0"/>
          <w:color w:val="000000"/>
          <w:sz w:val="20"/>
        </w:rPr>
        <w:t>, the requirement is approximately 108 events.</w:t>
      </w:r>
    </w:p>
    <w:p>
      <w:pPr>
        <w:keepLines w:val="0"/>
        <w:jc w:val="both"/>
      </w:pPr>
      <w:r>
        <w:rPr>
          <w:rFonts w:ascii="Times New Roman" w:hAnsi="Times New Roman" w:eastAsia="Times New Roman"/>
          <w:b w:val="0"/>
          <w:color w:val="000000"/>
          <w:sz w:val="20"/>
        </w:rPr>
        <w:t>This is a lower-complexity main-effect benchmark. It does not account for the extra degrees of freedom and tail support required for a four-knot spline. Final power is therefore estimated by simulation using the frozen outcome-blind exposure distribution, genotype mix, clustering, interval widths, attrition, and baseline hazard.</w:t>
      </w:r>
    </w:p>
    <w:p>
      <w:pPr>
        <w:pStyle w:val="Heading3"/>
      </w:pPr>
      <w:r>
        <w:rPr>
          <w:rFonts w:ascii="Times New Roman" w:hAnsi="Times New Roman" w:eastAsia="Times New Roman"/>
          <w:b/>
          <w:color w:val="000000"/>
          <w:sz w:val="20"/>
        </w:rPr>
        <w:t>14.2 Expected events with 800 preataxic carriers</w:t>
      </w:r>
    </w:p>
    <w:p>
      <w:pPr>
        <w:keepLines w:val="0"/>
        <w:jc w:val="both"/>
      </w:pPr>
      <w:r>
        <w:rPr>
          <w:rFonts w:ascii="Times New Roman" w:hAnsi="Times New Roman" w:eastAsia="Times New Roman"/>
          <w:b w:val="0"/>
          <w:color w:val="000000"/>
          <w:sz w:val="20"/>
        </w:rPr>
        <w:t>The initial target is 500 preataxic SCA3 and 300 preataxic SCA6 carriers. Under conservative five-year conversion risks of 25% and 10% and 85% retention:</w:t>
      </w:r>
    </w:p>
    <w:p>
      <w:pPr>
        <w:keepLines/>
        <w:spacing w:before="80" w:after="120"/>
        <w:jc w:val="center"/>
      </w:pPr>
      <m:oMath>
        <m:r>
          <m:rPr>
            <m:nor/>
          </m:rPr>
          <m:t>E</m:t>
        </m:r>
        <m:r>
          <m:rPr>
            <m:nor/>
          </m:rPr>
          <m:t>[</m:t>
        </m:r>
        <m:r>
          <m:rPr>
            <m:nor/>
          </m:rPr>
          <m:t>D</m:t>
        </m:r>
        <m:r>
          <m:rPr>
            <m:nor/>
          </m:rPr>
          <m:t>]</m:t>
        </m:r>
        <m:r>
          <m:rPr>
            <m:nor/>
          </m:rPr>
          <m:t>=</m:t>
        </m:r>
        <m:r>
          <m:rPr>
            <m:nor/>
          </m:rPr>
          <m:t>0</m:t>
        </m:r>
        <m:r>
          <m:rPr>
            <m:nor/>
          </m:rPr>
          <m:t>.</m:t>
        </m:r>
        <m:r>
          <m:rPr>
            <m:nor/>
          </m:rPr>
          <m:t>85</m:t>
        </m:r>
        <m:r>
          <m:rPr>
            <m:nor/>
          </m:rPr>
          <m:t>{</m:t>
        </m:r>
        <m:r>
          <m:rPr>
            <m:nor/>
          </m:rPr>
          <m:t>500</m:t>
        </m:r>
        <m:r>
          <m:rPr>
            <m:nor/>
          </m:rPr>
          <m:t>(</m:t>
        </m:r>
        <m:r>
          <m:rPr>
            <m:nor/>
          </m:rPr>
          <m:t>0</m:t>
        </m:r>
        <m:r>
          <m:rPr>
            <m:nor/>
          </m:rPr>
          <m:t>.</m:t>
        </m:r>
        <m:r>
          <m:rPr>
            <m:nor/>
          </m:rPr>
          <m:t>25</m:t>
        </m:r>
        <m:r>
          <m:rPr>
            <m:nor/>
          </m:rPr>
          <m:t>)</m:t>
        </m:r>
        <m:r>
          <m:rPr>
            <m:nor/>
          </m:rPr>
          <m:t>+</m:t>
        </m:r>
        <m:r>
          <m:rPr>
            <m:nor/>
          </m:rPr>
          <m:t>300</m:t>
        </m:r>
        <m:r>
          <m:rPr>
            <m:nor/>
          </m:rPr>
          <m:t>(</m:t>
        </m:r>
        <m:r>
          <m:rPr>
            <m:nor/>
          </m:rPr>
          <m:t>0</m:t>
        </m:r>
        <m:r>
          <m:rPr>
            <m:nor/>
          </m:rPr>
          <m:t>.</m:t>
        </m:r>
        <m:r>
          <m:rPr>
            <m:nor/>
          </m:rPr>
          <m:t>10</m:t>
        </m:r>
        <m:r>
          <m:rPr>
            <m:nor/>
          </m:rPr>
          <m:t>)</m:t>
        </m:r>
        <m:r>
          <m:rPr>
            <m:nor/>
          </m:rPr>
          <m:t>}</m:t>
        </m:r>
        <m:r>
          <m:rPr>
            <m:nor/>
          </m:rPr>
          <m:t>=</m:t>
        </m:r>
        <m:r>
          <m:rPr>
            <m:nor/>
          </m:rPr>
          <m:t>131</m:t>
        </m:r>
        <m:r>
          <m:rPr>
            <m:nor/>
          </m:rPr>
          <m:t>.</m:t>
        </m:r>
        <m:r>
          <m:rPr>
            <m:nor/>
          </m:rPr>
          <m:t>75</m:t>
        </m:r>
        <m:r>
          <m:rPr>
            <m:nor/>
          </m:rPr>
          <m:t>.</m:t>
        </m:r>
      </m:oMath>
    </w:p>
    <w:p>
      <w:pPr>
        <w:keepLines w:val="0"/>
        <w:jc w:val="both"/>
      </w:pPr>
      <w:r>
        <w:rPr>
          <w:rFonts w:ascii="Times New Roman" w:hAnsi="Times New Roman" w:eastAsia="Times New Roman"/>
          <w:b w:val="0"/>
          <w:color w:val="000000"/>
          <w:sz w:val="20"/>
        </w:rPr>
        <w:t>This may support H1 if the exposure distribution is favourable and the effect is near the planning value. It is not reliable power for a flexible hump plus H2. Published RISCA conversion proportions were 42% for SCA3 and 13% for SCA6, but arose from only 26 and 15 carriers and an age-enriched design; they are context, not guaranteed event rates (Jacobi et al., 2020).</w:t>
      </w:r>
    </w:p>
    <w:p>
      <w:pPr>
        <w:pStyle w:val="Heading3"/>
      </w:pPr>
      <w:r>
        <w:rPr>
          <w:rFonts w:ascii="Times New Roman" w:hAnsi="Times New Roman" w:eastAsia="Times New Roman"/>
          <w:b/>
          <w:color w:val="000000"/>
          <w:sz w:val="20"/>
        </w:rPr>
        <w:t>14.3 Interaction requirement</w:t>
      </w:r>
    </w:p>
    <w:p>
      <w:pPr>
        <w:keepLines w:val="0"/>
        <w:jc w:val="both"/>
      </w:pPr>
      <w:r>
        <w:rPr>
          <w:rFonts w:ascii="Times New Roman" w:hAnsi="Times New Roman" w:eastAsia="Times New Roman"/>
          <w:b w:val="0"/>
          <w:color w:val="000000"/>
          <w:sz w:val="20"/>
        </w:rPr>
        <w:t xml:space="preserve">For the planned recruitment proportions of 0.625 SCA3 and 0.375 SCA6, the planning-only one-parameter model uses one SD of </w:t>
      </w:r>
      <m:oMath>
        <m:r>
          <m:rPr>
            <m:nor/>
          </m:rPr>
          <m:t>S</m:t>
        </m:r>
        <m:r>
          <m:rPr>
            <m:nor/>
          </m:rPr>
          <m:t>*</m:t>
        </m:r>
      </m:oMath>
      <w:r>
        <w:rPr>
          <w:rFonts w:ascii="Times New Roman" w:hAnsi="Times New Roman" w:eastAsia="Times New Roman"/>
          <w:b w:val="0"/>
          <w:color w:val="000000"/>
          <w:sz w:val="20"/>
        </w:rPr>
        <w:t xml:space="preserve"> and defines </w:t>
      </w:r>
      <m:oMath>
        <m:r>
          <m:rPr>
            <m:nor/>
          </m:rPr>
          <m:t>exp</m:t>
        </m:r>
        <m:r>
          <m:rPr>
            <m:nor/>
          </m:rPr>
          <m:t>(</m:t>
        </m:r>
        <m:r>
          <m:rPr>
            <m:nor/>
          </m:rPr>
          <m:t>γ</m:t>
        </m:r>
        <m:r>
          <m:rPr>
            <m:nor/>
          </m:rPr>
          <m:t>)</m:t>
        </m:r>
        <m:r>
          <m:rPr>
            <m:nor/>
          </m:rPr>
          <m:t>=</m:t>
        </m:r>
        <m:r>
          <m:rPr>
            <m:nor/>
          </m:rPr>
          <m:t>1</m:t>
        </m:r>
        <m:r>
          <m:rPr>
            <m:nor/>
          </m:rPr>
          <m:t>.</m:t>
        </m:r>
        <m:r>
          <m:rPr>
            <m:nor/>
          </m:rPr>
          <m:t>7</m:t>
        </m:r>
      </m:oMath>
      <w:r>
        <w:rPr>
          <w:rFonts w:ascii="Times New Roman" w:hAnsi="Times New Roman" w:eastAsia="Times New Roman"/>
          <w:b w:val="0"/>
          <w:color w:val="000000"/>
          <w:sz w:val="20"/>
        </w:rPr>
        <w:t xml:space="preserve">, where </w:t>
      </w:r>
      <m:oMath>
        <m:r>
          <m:rPr>
            <m:nor/>
          </m:rPr>
          <m:t>γ</m:t>
        </m:r>
      </m:oMath>
      <w:r>
        <w:rPr>
          <w:rFonts w:ascii="Times New Roman" w:hAnsi="Times New Roman" w:eastAsia="Times New Roman"/>
          <w:b w:val="0"/>
          <w:color w:val="000000"/>
          <w:sz w:val="20"/>
        </w:rPr>
        <w:t xml:space="preserve"> is the SCA6-versus-SCA3 difference in log hazard ratio per one-SD higher score. These proportions are simulation inputs, not biological weights or the H1 estimand. That </w:t>
      </w:r>
      <w:r>
        <w:rPr>
          <w:rFonts w:ascii="Times New Roman" w:hAnsi="Times New Roman" w:eastAsia="Times New Roman"/>
          <w:b/>
          <w:color w:val="000000"/>
          <w:sz w:val="20"/>
        </w:rPr>
        <w:t>linear-interaction</w:t>
      </w:r>
      <w:r>
        <w:rPr>
          <w:rFonts w:ascii="Times New Roman" w:hAnsi="Times New Roman" w:eastAsia="Times New Roman"/>
          <w:b w:val="0"/>
          <w:color w:val="000000"/>
          <w:sz w:val="20"/>
        </w:rPr>
        <w:t xml:space="preserve"> approximation requires about 206 events for 80% power and 269 for 90% power at two-sided alpha 0.025 with </w:t>
      </w:r>
      <m:oMath>
        <m:sSubSup>
          <m:e>
            <m:r>
              <m:rPr>
                <m:nor/>
              </m:rPr>
              <m:t>R</m:t>
            </m:r>
          </m:e>
          <m:sub>
            <m:r>
              <m:rPr>
                <m:nor/>
              </m:rPr>
              <m:t>S</m:t>
            </m:r>
          </m:sub>
          <m:sup>
            <m:r>
              <m:rPr>
                <m:nor/>
              </m:rPr>
              <m:t>2</m:t>
            </m:r>
          </m:sup>
        </m:sSubSup>
        <m:r>
          <m:rPr>
            <m:nor/>
          </m:rPr>
          <m:t>=</m:t>
        </m:r>
        <m:r>
          <m:rPr>
            <m:nor/>
          </m:rPr>
          <m:t>0</m:t>
        </m:r>
        <m:r>
          <m:rPr>
            <m:nor/>
          </m:rPr>
          <m:t>.</m:t>
        </m:r>
        <m:r>
          <m:rPr>
            <m:nor/>
          </m:rPr>
          <m:t>30</m:t>
        </m:r>
      </m:oMath>
      <w:r>
        <w:rPr>
          <w:rFonts w:ascii="Times New Roman" w:hAnsi="Times New Roman" w:eastAsia="Times New Roman"/>
          <w:b w:val="0"/>
          <w:color w:val="000000"/>
          <w:sz w:val="20"/>
        </w:rPr>
        <w:t>. These are optimistic information benchmarks, not power calculations for the registered three-degree-of-freedom H2. An illustrative 1,200-carrier scenario with 750 SCA3, 450 SCA6, five-year risks 35% and 15%, and 85% retention yields about 281 events, but three-degree-of-freedom power must be established by the frozen simulation.</w:t>
      </w:r>
    </w:p>
    <w:p>
      <w:pPr>
        <w:keepLines w:val="0"/>
        <w:jc w:val="both"/>
      </w:pPr>
      <w:r>
        <w:rPr>
          <w:rFonts w:ascii="Times New Roman" w:hAnsi="Times New Roman" w:eastAsia="Times New Roman"/>
          <w:b w:val="0"/>
          <w:color w:val="000000"/>
          <w:sz w:val="20"/>
        </w:rPr>
        <w:t>Accordingly:</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800 preataxic carriers are a limited-power H2 design;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failure to reject H2 near or below the one-parameter 206-event benchmark is not evidence of no interaction;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approximately 1,200 carriers or follow-up to 84 months may approach the optimistic 269-event benchmark, but cannot be called a 90%-powered H2 design until the registered three-degree-of-freedom simulation demonstrates that power;</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the independent committee may recommend expansion using blinded event, retention, and exposure-support counts only.</w:t>
      </w:r>
    </w:p>
    <w:p>
      <w:pPr>
        <w:pStyle w:val="Heading3"/>
      </w:pPr>
      <w:r>
        <w:rPr>
          <w:rFonts w:ascii="Times New Roman" w:hAnsi="Times New Roman" w:eastAsia="Times New Roman"/>
          <w:b/>
          <w:color w:val="000000"/>
          <w:sz w:val="20"/>
        </w:rPr>
        <w:t>14.4 Early symptomatic slope precision</w:t>
      </w:r>
    </w:p>
    <w:p>
      <w:pPr>
        <w:keepLines w:val="0"/>
        <w:jc w:val="both"/>
      </w:pPr>
      <w:r>
        <w:rPr>
          <w:rFonts w:ascii="Times New Roman" w:hAnsi="Times New Roman" w:eastAsia="Times New Roman"/>
          <w:b w:val="0"/>
          <w:color w:val="000000"/>
          <w:sz w:val="20"/>
        </w:rPr>
        <w:t xml:space="preserve">For planning context, 400 early symptomatic carriers with 85% retention, individual annual SARA-slope SD 1.4, and covariate </w:t>
      </w:r>
      <m:oMath>
        <m:sSup>
          <m:e>
            <m:r>
              <m:rPr>
                <m:nor/>
              </m:rPr>
              <m:t>R</m:t>
            </m:r>
          </m:e>
          <m:sup>
            <m:r>
              <m:rPr>
                <m:nor/>
              </m:rPr>
              <m:t>2</m:t>
            </m:r>
          </m:sup>
        </m:sSup>
        <m:r>
          <m:rPr>
            <m:nor/>
          </m:rPr>
          <m:t>=</m:t>
        </m:r>
        <m:r>
          <m:rPr>
            <m:nor/>
          </m:rPr>
          <m:t>0</m:t>
        </m:r>
        <m:r>
          <m:rPr>
            <m:nor/>
          </m:rPr>
          <m:t>.</m:t>
        </m:r>
        <m:r>
          <m:rPr>
            <m:nor/>
          </m:rPr>
          <m:t>30</m:t>
        </m:r>
      </m:oMath>
      <w:r>
        <w:rPr>
          <w:rFonts w:ascii="Times New Roman" w:hAnsi="Times New Roman" w:eastAsia="Times New Roman"/>
          <w:b w:val="0"/>
          <w:color w:val="000000"/>
          <w:sz w:val="20"/>
        </w:rPr>
        <w:t xml:space="preserve"> give an approximate 90%-power minimum detectable linear </w:t>
      </w:r>
      <m:oMath>
        <m:r>
          <m:rPr>
            <m:nor/>
          </m:rPr>
          <m:t>S</m:t>
        </m:r>
        <m:r>
          <m:rPr>
            <m:nor/>
          </m:rPr>
          <m:t>*</m:t>
        </m:r>
      </m:oMath>
      <w:r>
        <w:rPr>
          <w:rFonts w:ascii="Times New Roman" w:hAnsi="Times New Roman" w:eastAsia="Times New Roman"/>
          <w:b w:val="0"/>
          <w:color w:val="000000"/>
          <w:sz w:val="20"/>
        </w:rPr>
        <w:t>-by-time coefficient of 0.29 SARA points/year per score SD. With 240 carriers, 80% retention, and slope SD 1.6, the value is approximately 0.45. Spline and genotype interactions require more information. These figures are illustrative and will be replaced by simulation-based precision estimates, not treated as guaranteed effects.</w:t>
      </w:r>
    </w:p>
    <w:p>
      <w:pPr>
        <w:pStyle w:val="Heading2"/>
      </w:pPr>
      <w:r>
        <w:rPr>
          <w:rFonts w:ascii="Times New Roman" w:hAnsi="Times New Roman" w:eastAsia="Times New Roman"/>
          <w:b/>
          <w:color w:val="000000"/>
          <w:sz w:val="22"/>
        </w:rPr>
        <w:t>15. Blinded event-driven decisions</w:t>
      </w:r>
    </w:p>
    <w:p>
      <w:pPr>
        <w:keepLines w:val="0"/>
        <w:jc w:val="both"/>
      </w:pPr>
      <w:r>
        <w:rPr>
          <w:rFonts w:ascii="Times New Roman" w:hAnsi="Times New Roman" w:eastAsia="Times New Roman"/>
          <w:b w:val="0"/>
          <w:color w:val="000000"/>
          <w:sz w:val="20"/>
        </w:rPr>
        <w:t>At months 36 and 48, the independent committee receives only:</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recruitment by genotype and baseline stratum;</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retention and missed-visit interval distributions;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blinded counts of adjudicated primary events and deaths;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exposure-quality pass rates and low/middle/high support counts;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modality completion and assay/scanner failure rates.</w:t>
      </w:r>
    </w:p>
    <w:p>
      <w:pPr>
        <w:keepLines w:val="0"/>
        <w:jc w:val="both"/>
      </w:pPr>
      <w:r>
        <w:rPr>
          <w:rFonts w:ascii="Times New Roman" w:hAnsi="Times New Roman" w:eastAsia="Times New Roman"/>
          <w:b w:val="0"/>
          <w:color w:val="000000"/>
          <w:sz w:val="20"/>
        </w:rPr>
        <w:t xml:space="preserve">It does not receive event rates by </w:t>
      </w:r>
      <m:oMath>
        <m:r>
          <m:rPr>
            <m:nor/>
          </m:rPr>
          <m:t>S</m:t>
        </m:r>
        <m:r>
          <m:rPr>
            <m:nor/>
          </m:rPr>
          <m:t>*</m:t>
        </m:r>
      </m:oMath>
      <w:r>
        <w:rPr>
          <w:rFonts w:ascii="Times New Roman" w:hAnsi="Times New Roman" w:eastAsia="Times New Roman"/>
          <w:b w:val="0"/>
          <w:color w:val="000000"/>
          <w:sz w:val="20"/>
        </w:rPr>
        <w:t>, spline estimates, genotype-by-</w:t>
      </w:r>
      <m:oMath>
        <m:r>
          <m:rPr>
            <m:nor/>
          </m:rPr>
          <m:t>S</m:t>
        </m:r>
        <m:r>
          <m:rPr>
            <m:nor/>
          </m:rPr>
          <m:t>*</m:t>
        </m:r>
      </m:oMath>
      <w:r>
        <w:rPr>
          <w:rFonts w:ascii="Times New Roman" w:hAnsi="Times New Roman" w:eastAsia="Times New Roman"/>
          <w:b w:val="0"/>
          <w:color w:val="000000"/>
          <w:sz w:val="20"/>
        </w:rPr>
        <w:t xml:space="preserve"> estimates, or outcome differences across exposure regions. Permitted decisions are to continue, add sites, extend follow-up to 84 months, stop an unusable modality, or declare that H2 will be estimation-only. Type I error is unchanged because no effect estimate is inspected.</w:t>
      </w:r>
    </w:p>
    <w:p>
      <w:pPr>
        <w:pStyle w:val="Heading2"/>
      </w:pPr>
      <w:r>
        <w:rPr>
          <w:rFonts w:ascii="Times New Roman" w:hAnsi="Times New Roman" w:eastAsia="Times New Roman"/>
          <w:b/>
          <w:color w:val="000000"/>
          <w:sz w:val="22"/>
        </w:rPr>
        <w:t>16. Go/no-go criteria</w:t>
      </w:r>
    </w:p>
    <w:p>
      <w:pPr>
        <w:pStyle w:val="Heading3"/>
      </w:pPr>
      <w:r>
        <w:rPr>
          <w:rFonts w:ascii="Times New Roman" w:hAnsi="Times New Roman" w:eastAsia="Times New Roman"/>
          <w:b/>
          <w:color w:val="000000"/>
          <w:sz w:val="20"/>
        </w:rPr>
        <w:t>16.1 Operational go</w:t>
      </w:r>
    </w:p>
    <w:p>
      <w:pPr>
        <w:keepLines w:val="0"/>
        <w:jc w:val="both"/>
      </w:pPr>
      <w:r>
        <w:rPr>
          <w:rFonts w:ascii="Times New Roman" w:hAnsi="Times New Roman" w:eastAsia="Times New Roman"/>
          <w:b w:val="0"/>
          <w:color w:val="000000"/>
          <w:sz w:val="20"/>
        </w:rPr>
        <w:t xml:space="preserve">The confirmatory </w:t>
      </w:r>
      <m:oMath>
        <m:r>
          <m:rPr>
            <m:nor/>
          </m:rPr>
          <m:t>E</m:t>
        </m:r>
        <m:r>
          <m:rPr>
            <m:nor/>
          </m:rPr>
          <m:t>*</m:t>
        </m:r>
        <m:r>
          <m:rPr>
            <m:nor/>
          </m:rPr>
          <m:t>/</m:t>
        </m:r>
        <m:r>
          <m:rPr>
            <m:nor/>
          </m:rPr>
          <m:t>S</m:t>
        </m:r>
        <m:r>
          <m:rPr>
            <m:nor/>
          </m:rPr>
          <m:t>*</m:t>
        </m:r>
      </m:oMath>
      <w:r>
        <w:rPr>
          <w:rFonts w:ascii="Times New Roman" w:hAnsi="Times New Roman" w:eastAsia="Times New Roman"/>
          <w:b w:val="0"/>
          <w:color w:val="000000"/>
          <w:sz w:val="20"/>
        </w:rPr>
        <w:t xml:space="preserve"> analysis proceeds only if the protocol's exposure-quality gate is met, central event adjudication is functional, and common exposure support prevents material genotype or site extrapolation.</w:t>
      </w:r>
    </w:p>
    <w:p>
      <w:pPr>
        <w:pStyle w:val="Heading3"/>
      </w:pPr>
      <w:r>
        <w:rPr>
          <w:rFonts w:ascii="Times New Roman" w:hAnsi="Times New Roman" w:eastAsia="Times New Roman"/>
          <w:b/>
          <w:color w:val="000000"/>
          <w:sz w:val="20"/>
        </w:rPr>
        <w:t>16.2 H1/H2 interpretation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Full go:</w:t>
      </w:r>
      <w:r>
        <w:rPr>
          <w:rFonts w:ascii="Times New Roman" w:hAnsi="Times New Roman" w:eastAsia="Times New Roman"/>
          <w:b w:val="0"/>
          <w:color w:val="000000"/>
          <w:sz w:val="20"/>
        </w:rPr>
        <w:t xml:space="preserve"> H1 and H2 both pass Holm, H1 satisfies all directional hump requirements, estimates are not driven by one family/site, and the risk region transports externally without post-hoc relocation.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Partial go:</w:t>
      </w:r>
      <w:r>
        <w:rPr>
          <w:rFonts w:ascii="Times New Roman" w:hAnsi="Times New Roman" w:eastAsia="Times New Roman"/>
          <w:b w:val="0"/>
          <w:color w:val="000000"/>
          <w:sz w:val="20"/>
        </w:rPr>
        <w:t xml:space="preserve"> H1 passes and transports, while H2 remains compatible with a relevant interaction but is underpowered. The conclusion is limited to a candidate non-monotonic association.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 xml:space="preserve">No-go for the registered </w:t>
      </w:r>
      <m:oMath>
        <m:r>
          <m:rPr>
            <m:nor/>
          </m:rPr>
          <m:t>E</m:t>
        </m:r>
        <m:r>
          <m:rPr>
            <m:nor/>
          </m:rPr>
          <m:t>*</m:t>
        </m:r>
        <m:r>
          <m:rPr>
            <m:nor/>
          </m:rPr>
          <m:t>/</m:t>
        </m:r>
        <m:r>
          <m:rPr>
            <m:nor/>
          </m:rPr>
          <m:t>S</m:t>
        </m:r>
        <m:r>
          <m:rPr>
            <m:nor/>
          </m:rPr>
          <m:t>*</m:t>
        </m:r>
      </m:oMath>
      <w:r>
        <w:rPr>
          <w:rFonts w:ascii="Times New Roman" w:hAnsi="Times New Roman" w:eastAsia="Times New Roman"/>
          <w:b/>
          <w:color w:val="000000"/>
          <w:sz w:val="20"/>
        </w:rPr>
        <w:t xml:space="preserve"> implementation:</w:t>
      </w:r>
      <w:r>
        <w:rPr>
          <w:rFonts w:ascii="Times New Roman" w:hAnsi="Times New Roman" w:eastAsia="Times New Roman"/>
          <w:b w:val="0"/>
          <w:color w:val="000000"/>
          <w:sz w:val="20"/>
        </w:rPr>
        <w:t xml:space="preserve"> H1 fails and the confidence interval excludes the prespecified minimally relevant hump, </w:t>
      </w:r>
      <m:oMath>
        <m:r>
          <m:rPr>
            <m:nor/>
          </m:rPr>
          <m:t>exp</m:t>
        </m:r>
        <m:r>
          <m:rPr>
            <m:nor/>
          </m:rPr>
          <m:t>(</m:t>
        </m:r>
        <m:sSub>
          <m:e>
            <m:r>
              <m:rPr>
                <m:nor/>
              </m:rPr>
              <m:t>Δ</m:t>
            </m:r>
          </m:e>
          <m:sub>
            <m:r>
              <m:rPr>
                <m:nor/>
              </m:rPr>
              <m:t>H1</m:t>
            </m:r>
          </m:sub>
        </m:sSub>
        <m:r>
          <m:rPr>
            <m:nor/>
          </m:rPr>
          <m:t>)</m:t>
        </m:r>
        <m:r>
          <m:rPr>
            <m:nor/>
          </m:rPr>
          <m:t>=</m:t>
        </m:r>
        <m:r>
          <m:rPr>
            <m:nor/>
          </m:rPr>
          <m:t>1</m:t>
        </m:r>
        <m:r>
          <m:rPr>
            <m:nor/>
          </m:rPr>
          <m:t>.</m:t>
        </m:r>
        <m:r>
          <m:rPr>
            <m:nor/>
          </m:rPr>
          <m:t>5</m:t>
        </m:r>
      </m:oMath>
      <w:r>
        <w:rPr>
          <w:rFonts w:ascii="Times New Roman" w:hAnsi="Times New Roman" w:eastAsia="Times New Roman"/>
          <w:b w:val="0"/>
          <w:color w:val="000000"/>
          <w:sz w:val="20"/>
        </w:rPr>
        <w:t>, or the frozen shape fails external replication.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No-go for genotype coupling:</w:t>
      </w:r>
      <w:r>
        <w:rPr>
          <w:rFonts w:ascii="Times New Roman" w:hAnsi="Times New Roman" w:eastAsia="Times New Roman"/>
          <w:b w:val="0"/>
          <w:color w:val="000000"/>
          <w:sz w:val="20"/>
        </w:rPr>
        <w:t xml:space="preserve"> H2 fails after the simulation-defined information target is reached and simultaneous genotype-contrast intervals exclude the prespecified minimally relevant interaction over the frozen exposure region. Reaching 269 events alone is insufficient because that number comes from a one-parameter approximation.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Indeterminate:</w:t>
      </w:r>
      <w:r>
        <w:rPr>
          <w:rFonts w:ascii="Times New Roman" w:hAnsi="Times New Roman" w:eastAsia="Times New Roman"/>
          <w:b w:val="0"/>
          <w:color w:val="000000"/>
          <w:sz w:val="20"/>
        </w:rPr>
        <w:t xml:space="preserve"> support, reliability, events, or confidence intervals are insufficient. The result is labelled inconclusive rather than positive or negative.</w:t>
      </w:r>
    </w:p>
    <w:p>
      <w:pPr>
        <w:pStyle w:val="Heading3"/>
      </w:pPr>
      <w:r>
        <w:rPr>
          <w:rFonts w:ascii="Times New Roman" w:hAnsi="Times New Roman" w:eastAsia="Times New Roman"/>
          <w:b/>
          <w:color w:val="000000"/>
          <w:sz w:val="20"/>
        </w:rPr>
        <w:t>16.3 Latent-state go</w:t>
      </w:r>
    </w:p>
    <w:p>
      <w:pPr>
        <w:keepLines w:val="0"/>
        <w:jc w:val="both"/>
      </w:pPr>
      <w:r>
        <w:rPr>
          <w:rFonts w:ascii="Times New Roman" w:hAnsi="Times New Roman" w:eastAsia="Times New Roman"/>
          <w:b w:val="0"/>
          <w:color w:val="000000"/>
          <w:sz w:val="20"/>
        </w:rPr>
        <w:t xml:space="preserve">A common </w:t>
      </w:r>
      <m:oMath>
        <m:r>
          <m:rPr>
            <m:nor/>
          </m:rPr>
          <m:t>L</m:t>
        </m:r>
        <m:r>
          <m:rPr>
            <m:nor/>
          </m:rPr>
          <m:t>(</m:t>
        </m:r>
        <m:r>
          <m:rPr>
            <m:nor/>
          </m:rPr>
          <m:t>t</m:t>
        </m:r>
        <m:r>
          <m:rPr>
            <m:nor/>
          </m:rPr>
          <m:t>)</m:t>
        </m:r>
      </m:oMath>
      <w:r>
        <w:rPr>
          <w:rFonts w:ascii="Times New Roman" w:hAnsi="Times New Roman" w:eastAsia="Times New Roman"/>
          <w:b w:val="0"/>
          <w:color w:val="000000"/>
          <w:sz w:val="20"/>
        </w:rPr>
        <w:t xml:space="preserve"> proceeds to external prognostic evaluation only if the frozen factor model meets fit, determinacy, and longitudinal/genotype invariance criteria. It is retained as externally supported only if calibration is acceptable and baseline or 12-month decline predicts later conversion beyond </w:t>
      </w:r>
      <m:oMath>
        <m:r>
          <m:rPr>
            <m:nor/>
          </m:rPr>
          <m:t>M0</m:t>
        </m:r>
      </m:oMath>
      <w:r>
        <w:rPr>
          <w:rFonts w:ascii="Times New Roman" w:hAnsi="Times New Roman" w:eastAsia="Times New Roman"/>
          <w:b w:val="0"/>
          <w:color w:val="000000"/>
          <w:sz w:val="20"/>
        </w:rPr>
        <w:t>. Failure cannot be repaired by silently dropping indicators or fitting a new factor in the validation cohort.</w:t>
      </w:r>
    </w:p>
    <w:p>
      <w:pPr>
        <w:pStyle w:val="Heading3"/>
      </w:pPr>
      <w:r>
        <w:rPr>
          <w:rFonts w:ascii="Times New Roman" w:hAnsi="Times New Roman" w:eastAsia="Times New Roman"/>
          <w:b/>
          <w:color w:val="000000"/>
          <w:sz w:val="20"/>
        </w:rPr>
        <w:t>16.4 Mechanistic and trial boundary</w:t>
      </w:r>
    </w:p>
    <w:p>
      <w:pPr>
        <w:keepLines w:val="0"/>
        <w:jc w:val="both"/>
      </w:pPr>
      <w:r>
        <w:rPr>
          <w:rFonts w:ascii="Times New Roman" w:hAnsi="Times New Roman" w:eastAsia="Times New Roman"/>
          <w:b w:val="0"/>
          <w:color w:val="000000"/>
          <w:sz w:val="20"/>
        </w:rPr>
        <w:t xml:space="preserve">Even full statistical go does not establish uptake, leakage, reserve depletion, or reversible treatment response. A gate-specific mechanistic programme must independently measure activation, inward uptake/exchange, and a reserve/depletion proxy; demonstrate the prespecified temporal sequence from intermediate </w:t>
      </w:r>
      <m:oMath>
        <m:r>
          <m:rPr>
            <m:nor/>
          </m:rPr>
          <m:t>S</m:t>
        </m:r>
        <m:r>
          <m:rPr>
            <m:nor/>
          </m:rPr>
          <m:t>*</m:t>
        </m:r>
      </m:oMath>
      <w:r>
        <w:rPr>
          <w:rFonts w:ascii="Times New Roman" w:hAnsi="Times New Roman" w:eastAsia="Times New Roman"/>
          <w:b w:val="0"/>
          <w:color w:val="000000"/>
          <w:sz w:val="20"/>
        </w:rPr>
        <w:t xml:space="preserve"> through those mediators to later biomarker change; and reproduce a selective perturbation effect with negative controls. Advancement to an interventional protocol requires an independently known human-safe biological target, prospective evidence that the selected abnormal state precedes degeneration, and separate regulatory and ethics review.</w:t>
      </w:r>
    </w:p>
    <w:p>
      <w:pPr>
        <w:pStyle w:val="Heading2"/>
      </w:pPr>
      <w:r>
        <w:rPr>
          <w:rFonts w:ascii="Times New Roman" w:hAnsi="Times New Roman" w:eastAsia="Times New Roman"/>
          <w:b/>
          <w:color w:val="000000"/>
          <w:sz w:val="22"/>
        </w:rPr>
        <w:t>17. Reporting</w:t>
      </w:r>
    </w:p>
    <w:p>
      <w:pPr>
        <w:keepLines w:val="0"/>
        <w:jc w:val="both"/>
      </w:pPr>
      <w:r>
        <w:rPr>
          <w:rFonts w:ascii="Times New Roman" w:hAnsi="Times New Roman" w:eastAsia="Times New Roman"/>
          <w:b w:val="0"/>
          <w:color w:val="000000"/>
          <w:sz w:val="20"/>
        </w:rPr>
        <w:t>The main report will include a participant flow diagram, protocol deviations, exact event intervals, exposure support, missingness reasons, all H1/H2 estimates regardless of significance, raw and multiplicity-adjusted p values, absolute cumulative risks, genotype-specific curves, and all prespecified sensitivity analyses. Confidence intervals accompany every effect estimate. Null findings are distinguished from underpowered findings by comparison with the minimally relevant effect and event target.</w:t>
      </w:r>
    </w:p>
    <w:p>
      <w:pPr>
        <w:keepLines w:val="0"/>
        <w:jc w:val="both"/>
      </w:pPr>
      <w:r>
        <w:rPr>
          <w:rFonts w:ascii="Times New Roman" w:hAnsi="Times New Roman" w:eastAsia="Times New Roman"/>
          <w:b w:val="0"/>
          <w:color w:val="000000"/>
          <w:sz w:val="20"/>
        </w:rPr>
        <w:t>The cohort report will follow STROBE. Prediction development and validation will follow TRIPOD+AI. Registration fields follow the ClinicalTrials.gov official protocol definitions, and natural-history use is framed consistently with the FDA rare-disease natural-history guidance.</w:t>
      </w:r>
    </w:p>
    <w:p>
      <w:pPr>
        <w:pStyle w:val="Heading2"/>
      </w:pPr>
      <w:r>
        <w:rPr>
          <w:rFonts w:ascii="Times New Roman" w:hAnsi="Times New Roman" w:eastAsia="Times New Roman"/>
          <w:b/>
          <w:color w:val="000000"/>
          <w:sz w:val="22"/>
        </w:rPr>
        <w:t>18. Source anchors</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 xml:space="preserve">Jacobi H, et al. Conversion of individuals at risk for SCA1, SCA2, SCA3, and SCA6 to manifest ataxia. </w:t>
      </w:r>
      <w:r>
        <w:rPr>
          <w:rFonts w:ascii="Times New Roman" w:hAnsi="Times New Roman" w:eastAsia="Times New Roman"/>
          <w:b w:val="0"/>
          <w:i/>
          <w:color w:val="000000"/>
          <w:sz w:val="20"/>
        </w:rPr>
        <w:t>Lancet Neurol.</w:t>
      </w:r>
      <w:r>
        <w:rPr>
          <w:rFonts w:ascii="Times New Roman" w:hAnsi="Times New Roman" w:eastAsia="Times New Roman"/>
          <w:b w:val="0"/>
          <w:color w:val="000000"/>
          <w:sz w:val="20"/>
        </w:rPr>
        <w:t xml:space="preserve"> 2020. doi:10.1016/S1474-4422(20)30235-0.</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 xml:space="preserve">Jacobi H, et al. Long-term disease progression in SCA1, SCA2, SCA3, and SCA6. </w:t>
      </w:r>
      <w:r>
        <w:rPr>
          <w:rFonts w:ascii="Times New Roman" w:hAnsi="Times New Roman" w:eastAsia="Times New Roman"/>
          <w:b w:val="0"/>
          <w:i/>
          <w:color w:val="000000"/>
          <w:sz w:val="20"/>
        </w:rPr>
        <w:t>Lancet Neurol.</w:t>
      </w:r>
      <w:r>
        <w:rPr>
          <w:rFonts w:ascii="Times New Roman" w:hAnsi="Times New Roman" w:eastAsia="Times New Roman"/>
          <w:b w:val="0"/>
          <w:color w:val="000000"/>
          <w:sz w:val="20"/>
        </w:rPr>
        <w:t xml:space="preserve"> 2015. doi:10.1016/S1474-4422(15)00202-1.</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val="0"/>
          <w:color w:val="000000"/>
          <w:sz w:val="20"/>
        </w:rPr>
        <w:t xml:space="preserve">Berger M, et al. Progression of biological markers in SCA3. </w:t>
      </w:r>
      <w:r>
        <w:rPr>
          <w:rFonts w:ascii="Times New Roman" w:hAnsi="Times New Roman" w:eastAsia="Times New Roman"/>
          <w:b w:val="0"/>
          <w:i/>
          <w:color w:val="000000"/>
          <w:sz w:val="20"/>
        </w:rPr>
        <w:t>Lancet Reg Health Eur.</w:t>
      </w:r>
      <w:r>
        <w:rPr>
          <w:rFonts w:ascii="Times New Roman" w:hAnsi="Times New Roman" w:eastAsia="Times New Roman"/>
          <w:b w:val="0"/>
          <w:color w:val="000000"/>
          <w:sz w:val="20"/>
        </w:rPr>
        <w:t xml:space="preserve"> 2025;55:101339. doi:10.1016/j.lanepe.2025.101339.</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val="0"/>
          <w:color w:val="000000"/>
          <w:sz w:val="20"/>
        </w:rPr>
        <w:t xml:space="preserve">Petit E, et al. Predictive models for ataxia progression and conversion in SCA1 and SCA3. </w:t>
      </w:r>
      <w:r>
        <w:rPr>
          <w:rFonts w:ascii="Times New Roman" w:hAnsi="Times New Roman" w:eastAsia="Times New Roman"/>
          <w:b w:val="0"/>
          <w:i/>
          <w:color w:val="000000"/>
          <w:sz w:val="20"/>
        </w:rPr>
        <w:t>Brain.</w:t>
      </w:r>
      <w:r>
        <w:rPr>
          <w:rFonts w:ascii="Times New Roman" w:hAnsi="Times New Roman" w:eastAsia="Times New Roman"/>
          <w:b w:val="0"/>
          <w:color w:val="000000"/>
          <w:sz w:val="20"/>
        </w:rPr>
        <w:t xml:space="preserve"> 2026. PMC12998449.</w:t>
      </w:r>
    </w:p>
    <w:p>
      <w:pPr>
        <w:spacing w:after="60" w:line="276" w:lineRule="auto"/>
        <w:ind w:left="360" w:hanging="259"/>
      </w:pPr>
      <w:r>
        <w:rPr>
          <w:rFonts w:ascii="Times New Roman" w:hAnsi="Times New Roman" w:eastAsia="Times New Roman"/>
          <w:color w:val="000000"/>
          <w:sz w:val="20"/>
        </w:rPr>
        <w:t xml:space="preserve">5. </w:t>
      </w:r>
      <w:r>
        <w:rPr>
          <w:rFonts w:ascii="Times New Roman" w:hAnsi="Times New Roman" w:eastAsia="Times New Roman"/>
          <w:b w:val="0"/>
          <w:color w:val="000000"/>
          <w:sz w:val="20"/>
        </w:rPr>
        <w:t xml:space="preserve">Reetz K, et al. Genotype-specific patterns of atrophy progression in SCA1, SCA3, and SCA6. </w:t>
      </w:r>
      <w:r>
        <w:rPr>
          <w:rFonts w:ascii="Times New Roman" w:hAnsi="Times New Roman" w:eastAsia="Times New Roman"/>
          <w:b w:val="0"/>
          <w:i/>
          <w:color w:val="000000"/>
          <w:sz w:val="20"/>
        </w:rPr>
        <w:t>Brain.</w:t>
      </w:r>
      <w:r>
        <w:rPr>
          <w:rFonts w:ascii="Times New Roman" w:hAnsi="Times New Roman" w:eastAsia="Times New Roman"/>
          <w:b w:val="0"/>
          <w:color w:val="000000"/>
          <w:sz w:val="20"/>
        </w:rPr>
        <w:t xml:space="preserve"> 2013. doi:10.1093/brain/aws369.</w:t>
      </w:r>
    </w:p>
    <w:p>
      <w:pPr>
        <w:spacing w:after="60" w:line="276" w:lineRule="auto"/>
        <w:ind w:left="360" w:hanging="259"/>
      </w:pPr>
      <w:r>
        <w:rPr>
          <w:rFonts w:ascii="Times New Roman" w:hAnsi="Times New Roman" w:eastAsia="Times New Roman"/>
          <w:color w:val="000000"/>
          <w:sz w:val="20"/>
        </w:rPr>
        <w:t xml:space="preserve">6. </w:t>
      </w:r>
      <w:r>
        <w:rPr>
          <w:rFonts w:ascii="Times New Roman" w:hAnsi="Times New Roman" w:eastAsia="Times New Roman"/>
          <w:b w:val="0"/>
          <w:color w:val="000000"/>
          <w:sz w:val="20"/>
        </w:rPr>
        <w:t xml:space="preserve">Martins AC, et al. Rural environment as a risk factor for age at onset of Machado–Joseph disease. </w:t>
      </w:r>
      <w:r>
        <w:rPr>
          <w:rFonts w:ascii="Times New Roman" w:hAnsi="Times New Roman" w:eastAsia="Times New Roman"/>
          <w:b w:val="0"/>
          <w:i/>
          <w:color w:val="000000"/>
          <w:sz w:val="20"/>
        </w:rPr>
        <w:t>Mov Disord Clin Pract.</w:t>
      </w:r>
      <w:r>
        <w:rPr>
          <w:rFonts w:ascii="Times New Roman" w:hAnsi="Times New Roman" w:eastAsia="Times New Roman"/>
          <w:b w:val="0"/>
          <w:color w:val="000000"/>
          <w:sz w:val="20"/>
        </w:rPr>
        <w:t xml:space="preserve"> 2025. PMC11998691.</w:t>
      </w:r>
    </w:p>
    <w:p>
      <w:pPr>
        <w:pStyle w:val="Heading1"/>
        <w:pageBreakBefore/>
      </w:pPr>
      <w:r>
        <w:rPr>
          <w:rFonts w:ascii="Times New Roman" w:hAnsi="Times New Roman" w:eastAsia="Times New Roman"/>
          <w:b/>
          <w:color w:val="000000"/>
          <w:sz w:val="24"/>
        </w:rPr>
        <w:t>Genotype-Specific Early-Intervention Protocol Concepts for SCA3 and SCA6</w:t>
      </w:r>
    </w:p>
    <w:p>
      <w:pPr>
        <w:keepLines w:val="0"/>
        <w:jc w:val="both"/>
      </w:pPr>
      <w:r>
        <w:rPr>
          <w:rFonts w:ascii="Times New Roman" w:hAnsi="Times New Roman" w:eastAsia="Times New Roman"/>
          <w:b/>
          <w:color w:val="000000"/>
          <w:sz w:val="20"/>
        </w:rPr>
        <w:t>Protocol status:</w:t>
      </w:r>
      <w:r>
        <w:rPr>
          <w:rFonts w:ascii="Times New Roman" w:hAnsi="Times New Roman" w:eastAsia="Times New Roman"/>
          <w:b w:val="0"/>
          <w:color w:val="000000"/>
          <w:sz w:val="20"/>
        </w:rPr>
        <w:t xml:space="preserve"> submission-oriented concept protocols, not treatment recommendations</w:t>
      </w:r>
    </w:p>
    <w:p>
      <w:pPr>
        <w:keepLines w:val="0"/>
        <w:jc w:val="both"/>
      </w:pPr>
      <w:r>
        <w:rPr>
          <w:rFonts w:ascii="Times New Roman" w:hAnsi="Times New Roman" w:eastAsia="Times New Roman"/>
          <w:b/>
          <w:color w:val="000000"/>
          <w:sz w:val="20"/>
        </w:rPr>
        <w:t>Evidence status date:</w:t>
      </w:r>
      <w:r>
        <w:rPr>
          <w:rFonts w:ascii="Times New Roman" w:hAnsi="Times New Roman" w:eastAsia="Times New Roman"/>
          <w:b w:val="0"/>
          <w:color w:val="000000"/>
          <w:sz w:val="20"/>
        </w:rPr>
        <w:t xml:space="preserve"> 2026-08-19</w:t>
      </w:r>
    </w:p>
    <w:p>
      <w:pPr>
        <w:keepLines w:val="0"/>
        <w:jc w:val="both"/>
      </w:pPr>
      <w:r>
        <w:rPr>
          <w:rFonts w:ascii="Times New Roman" w:hAnsi="Times New Roman" w:eastAsia="Times New Roman"/>
          <w:b/>
          <w:color w:val="000000"/>
          <w:sz w:val="20"/>
        </w:rPr>
        <w:t>Intended use:</w:t>
      </w:r>
      <w:r>
        <w:rPr>
          <w:rFonts w:ascii="Times New Roman" w:hAnsi="Times New Roman" w:eastAsia="Times New Roman"/>
          <w:b w:val="0"/>
          <w:color w:val="000000"/>
          <w:sz w:val="20"/>
        </w:rPr>
        <w:t xml:space="preserve"> prospective scientific advice, sponsor discussion, ethics review planning, and protocol development</w:t>
      </w:r>
    </w:p>
    <w:p>
      <w:pPr>
        <w:keepLines w:val="0"/>
        <w:jc w:val="both"/>
      </w:pPr>
      <w:r>
        <w:rPr>
          <w:rFonts w:ascii="Times New Roman" w:hAnsi="Times New Roman" w:eastAsia="Times New Roman"/>
          <w:b w:val="0"/>
          <w:color w:val="000000"/>
          <w:sz w:val="20"/>
        </w:rPr>
        <w:t>These modules illustrate how early modifiability of already known molecular or circuit targets could be tested. They do not test or validate the candidate external input, gating function, or reserve flux proposed in the accompanying framework.</w:t>
      </w:r>
    </w:p>
    <w:p>
      <w:pPr>
        <w:pStyle w:val="Heading2"/>
      </w:pPr>
      <w:r>
        <w:rPr>
          <w:rFonts w:ascii="Times New Roman" w:hAnsi="Times New Roman" w:eastAsia="Times New Roman"/>
          <w:b/>
          <w:color w:val="000000"/>
          <w:sz w:val="22"/>
        </w:rPr>
        <w:t>Synopsis and design decision</w:t>
      </w:r>
    </w:p>
    <w:p>
      <w:pPr>
        <w:keepLines w:val="0"/>
        <w:jc w:val="both"/>
      </w:pPr>
      <w:r>
        <w:rPr>
          <w:rFonts w:ascii="Times New Roman" w:hAnsi="Times New Roman" w:eastAsia="Times New Roman"/>
          <w:b w:val="0"/>
          <w:color w:val="000000"/>
          <w:sz w:val="20"/>
        </w:rPr>
        <w:t>SCA3 and SCA6 may share a master operational framework, central laboratories, outcome-rater training, imaging acquisition, data standards, and independent safety governance. They must not share a pharmacological treatment arm or a pooled primary efficacy analysis.</w:t>
      </w:r>
    </w:p>
    <w:p>
      <w:pPr>
        <w:keepLines w:val="0"/>
        <w:jc w:val="both"/>
      </w:pPr>
      <w:r>
        <w:rPr>
          <w:rFonts w:ascii="Times New Roman" w:hAnsi="Times New Roman" w:eastAsia="Times New Roman"/>
          <w:b w:val="0"/>
          <w:color w:val="000000"/>
          <w:sz w:val="20"/>
        </w:rPr>
        <w:t>The biological reasons are consequential. A mutant-ATXN3-lowering strategy has direct target logic in SCA3. In SCA6, indiscriminate lowering of CACNA1A could reduce an essential calcium-channel function and is therefore not an acceptable extrapolation. Conversely, the completed SCA6 L-arginine study does not establish an intervention for SCA3. Any unknown external maintenance input proposed by the hypothesis remains an unobserved variable and is not an intervention in this programme.</w:t>
      </w:r>
    </w:p>
    <w:p>
      <w:pPr>
        <w:keepLines w:val="0"/>
        <w:jc w:val="both"/>
      </w:pPr>
      <w:r>
        <w:rPr>
          <w:rFonts w:ascii="Times New Roman" w:hAnsi="Times New Roman" w:eastAsia="Times New Roman"/>
          <w:b w:val="0"/>
          <w:color w:val="000000"/>
          <w:sz w:val="20"/>
        </w:rPr>
        <w:t>This document therefore defines three modules:</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color w:val="000000"/>
          <w:sz w:val="20"/>
        </w:rPr>
        <w:t>Module A:</w:t>
      </w:r>
      <w:r>
        <w:rPr>
          <w:rFonts w:ascii="Times New Roman" w:hAnsi="Times New Roman" w:eastAsia="Times New Roman"/>
          <w:b w:val="0"/>
          <w:color w:val="000000"/>
          <w:sz w:val="20"/>
        </w:rPr>
        <w:t xml:space="preserve"> a conditional SCA3 Phase 2 trial of a mutant-ATXN3-lowering agent, activated only after SCA3-specific human safety, dose, and target-engagement gates are met;</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color w:val="000000"/>
          <w:sz w:val="20"/>
        </w:rPr>
        <w:t>Module B:</w:t>
      </w:r>
      <w:r>
        <w:rPr>
          <w:rFonts w:ascii="Times New Roman" w:hAnsi="Times New Roman" w:eastAsia="Times New Roman"/>
          <w:b w:val="0"/>
          <w:color w:val="000000"/>
          <w:sz w:val="20"/>
        </w:rPr>
        <w:t xml:space="preserve"> an early-manifest SCA6 Phase 2b trial of L-arginine, using the prior human regimen and a planned withdrawal period;</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color w:val="000000"/>
          <w:sz w:val="20"/>
        </w:rPr>
        <w:t>Module C:</w:t>
      </w:r>
      <w:r>
        <w:rPr>
          <w:rFonts w:ascii="Times New Roman" w:hAnsi="Times New Roman" w:eastAsia="Times New Roman"/>
          <w:b w:val="0"/>
          <w:color w:val="000000"/>
          <w:sz w:val="20"/>
        </w:rPr>
        <w:t xml:space="preserve"> a circuit-targeted Phase 0 module that remains inactive until four strict prospective validation gates are passed.</w:t>
      </w:r>
    </w:p>
    <w:p>
      <w:pPr>
        <w:keepLines w:val="0"/>
        <w:jc w:val="both"/>
      </w:pPr>
      <w:r>
        <w:rPr>
          <w:rFonts w:ascii="Times New Roman" w:hAnsi="Times New Roman" w:eastAsia="Times New Roman"/>
          <w:b w:val="0"/>
          <w:color w:val="000000"/>
          <w:sz w:val="20"/>
        </w:rPr>
        <w:t>Modules A and B have separate estimands, statistical families, data-monitoring decisions, and conclusions. Results must be reported by genotype even if the same coordinating infrastructure is used.</w:t>
      </w:r>
    </w:p>
    <w:p>
      <w:pPr>
        <w:pStyle w:val="Heading2"/>
      </w:pPr>
      <w:r>
        <w:rPr>
          <w:rFonts w:ascii="Times New Roman" w:hAnsi="Times New Roman" w:eastAsia="Times New Roman"/>
          <w:b/>
          <w:color w:val="000000"/>
          <w:sz w:val="22"/>
        </w:rPr>
        <w:t>Common regulatory, ethical, and operational framework</w:t>
      </w:r>
    </w:p>
    <w:p>
      <w:pPr>
        <w:pStyle w:val="Heading3"/>
      </w:pPr>
      <w:r>
        <w:rPr>
          <w:rFonts w:ascii="Times New Roman" w:hAnsi="Times New Roman" w:eastAsia="Times New Roman"/>
          <w:b/>
          <w:color w:val="000000"/>
          <w:sz w:val="20"/>
        </w:rPr>
        <w:t>Required authorizations</w:t>
      </w:r>
    </w:p>
    <w:p>
      <w:pPr>
        <w:keepLines w:val="0"/>
        <w:jc w:val="both"/>
      </w:pPr>
      <w:r>
        <w:rPr>
          <w:rFonts w:ascii="Times New Roman" w:hAnsi="Times New Roman" w:eastAsia="Times New Roman"/>
          <w:b w:val="0"/>
          <w:color w:val="000000"/>
          <w:sz w:val="20"/>
        </w:rPr>
        <w:t>Before enrolment, each interventional module requires: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 sponsor with legal control of the investigational product and a valid IND, CTA, or applicable national authorization;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central and local research-ethics approval;</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prospective registration in a WHO-recognized registry and public posting of the protocol and statistical analysis plan before database lock;</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trial insurance, pharmacovigilance procedures, central randomization, validated electronic data capture, and a written independent data and safety monitoring board (DSMB) charter;</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product-specific chemistry, manufacturing, and controls documentation and a qualified bioanalytical assay for each pharmacodynamic endpoint.</w:t>
      </w:r>
    </w:p>
    <w:p>
      <w:pPr>
        <w:keepLines w:val="0"/>
        <w:jc w:val="both"/>
      </w:pPr>
      <w:r>
        <w:rPr>
          <w:rFonts w:ascii="Times New Roman" w:hAnsi="Times New Roman" w:eastAsia="Times New Roman"/>
          <w:b w:val="0"/>
          <w:color w:val="000000"/>
          <w:sz w:val="20"/>
        </w:rPr>
        <w:t>Publication of this concept does not authorize access to VO659, another proprietary oligonucleotide, or a clinical-grade L-arginine product.</w:t>
      </w:r>
    </w:p>
    <w:p>
      <w:pPr>
        <w:pStyle w:val="Heading3"/>
      </w:pPr>
      <w:r>
        <w:rPr>
          <w:rFonts w:ascii="Times New Roman" w:hAnsi="Times New Roman" w:eastAsia="Times New Roman"/>
          <w:b/>
          <w:color w:val="000000"/>
          <w:sz w:val="20"/>
        </w:rPr>
        <w:t>Participant protections</w:t>
      </w:r>
    </w:p>
    <w:p>
      <w:pPr>
        <w:keepLines w:val="0"/>
        <w:jc w:val="both"/>
      </w:pPr>
      <w:r>
        <w:rPr>
          <w:rFonts w:ascii="Times New Roman" w:hAnsi="Times New Roman" w:eastAsia="Times New Roman"/>
          <w:b w:val="0"/>
          <w:color w:val="000000"/>
          <w:sz w:val="20"/>
        </w:rPr>
        <w:t>Only adults capable of informed consent are eligible. Genetic counselling is required before and after confirmatory testing. Consent must separately cover genetic-status disclosure, biobanking, future use, recontact, and controlled sharing of participant-level data. Participants must be told that early intervention can expose them to procedural, pharmacological, employment, insurance, and psychological harms before any proven clinical benefit exists.</w:t>
      </w:r>
    </w:p>
    <w:p>
      <w:pPr>
        <w:keepLines w:val="0"/>
        <w:jc w:val="both"/>
      </w:pPr>
      <w:r>
        <w:rPr>
          <w:rFonts w:ascii="Times New Roman" w:hAnsi="Times New Roman" w:eastAsia="Times New Roman"/>
          <w:b w:val="0"/>
          <w:color w:val="000000"/>
          <w:sz w:val="20"/>
        </w:rPr>
        <w:t>Premanifest participants are not eligible merely because they carry a pathogenic expansion. Entry into an intervention requires the disease-specific enrichment and safety gates below. A participant may withdraw at any time without losing clinical care. Pregnancy prevention and pregnancy testing must follow the investigator's brochure and local regulation.</w:t>
      </w:r>
    </w:p>
    <w:p>
      <w:pPr>
        <w:pStyle w:val="Heading3"/>
      </w:pPr>
      <w:r>
        <w:rPr>
          <w:rFonts w:ascii="Times New Roman" w:hAnsi="Times New Roman" w:eastAsia="Times New Roman"/>
          <w:b/>
          <w:color w:val="000000"/>
          <w:sz w:val="20"/>
        </w:rPr>
        <w:t>Concurrent controls</w:t>
      </w:r>
    </w:p>
    <w:p>
      <w:pPr>
        <w:keepLines w:val="0"/>
        <w:jc w:val="both"/>
      </w:pPr>
      <w:r>
        <w:rPr>
          <w:rFonts w:ascii="Times New Roman" w:hAnsi="Times New Roman" w:eastAsia="Times New Roman"/>
          <w:b w:val="0"/>
          <w:color w:val="000000"/>
          <w:sz w:val="20"/>
        </w:rPr>
        <w:t>Both drug trials use concurrent randomized controls. Natural-history cohorts may inform design assumptions, stratification, assay qualification, and supportive Bayesian analyses, but they do not replace the randomized control in the primary analysis. Any Bayesian dynamic borrowing must be prespecified, robust to prior-data conflict, and supplemental to the no-borrowing primary analysis.</w:t>
      </w:r>
    </w:p>
    <w:p>
      <w:pPr>
        <w:pStyle w:val="Heading3"/>
      </w:pPr>
      <w:r>
        <w:rPr>
          <w:rFonts w:ascii="Times New Roman" w:hAnsi="Times New Roman" w:eastAsia="Times New Roman"/>
          <w:b/>
          <w:color w:val="000000"/>
          <w:sz w:val="20"/>
        </w:rPr>
        <w:t>Common data-quality safeguards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Centralized, concealed allocation with randomly varying block sizes;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intervention-specific matching placebo and separate unblinded pharmacy or dosing personnel;</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blinded central SARA video review and periodic inter-rater calibration;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scanner qualification, phantom monitoring, identical acquisition parameters within participant, and blinded central image processing;</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collection of treatment guesses from participants and assessors to quantify blinding integrity;</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follow-up after treatment discontinuation whenever consent remains in place;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one protocol-defined source of truth for visit windows, endpoint derivations, intercurrent events, and analysis populations.</w:t>
      </w:r>
    </w:p>
    <w:p>
      <w:pPr>
        <w:pStyle w:val="Heading3"/>
      </w:pPr>
      <w:r>
        <w:rPr>
          <w:rFonts w:ascii="Times New Roman" w:hAnsi="Times New Roman" w:eastAsia="Times New Roman"/>
          <w:b/>
          <w:color w:val="000000"/>
          <w:sz w:val="20"/>
        </w:rPr>
        <w:t>Independent oversight</w:t>
      </w:r>
    </w:p>
    <w:p>
      <w:pPr>
        <w:keepLines w:val="0"/>
        <w:jc w:val="both"/>
      </w:pPr>
      <w:r>
        <w:rPr>
          <w:rFonts w:ascii="Times New Roman" w:hAnsi="Times New Roman" w:eastAsia="Times New Roman"/>
          <w:b w:val="0"/>
          <w:color w:val="000000"/>
          <w:sz w:val="20"/>
        </w:rPr>
        <w:t>The DSMB includes at least one ataxia neurologist, one trial statistician, one pharmacovigilance expert, one bioethicist experienced in predictive genetics, and product-specific expertise. The DSMB receives unblinded safety data; the sponsor team responsible for conduct remains blinded to comparative efficacy. A participant-related death, suspected unexpected serious adverse reaction, or programme-pause criterion is reported immediately under the applicable regulatory timelines.</w:t>
      </w:r>
    </w:p>
    <w:p>
      <w:pPr>
        <w:pStyle w:val="Heading2"/>
      </w:pPr>
      <w:r>
        <w:rPr>
          <w:rFonts w:ascii="Times New Roman" w:hAnsi="Times New Roman" w:eastAsia="Times New Roman"/>
          <w:b/>
          <w:color w:val="000000"/>
          <w:sz w:val="22"/>
        </w:rPr>
        <w:t>Module A: conditional SCA3 mutant-ATXN3-lowering Phase 2 trial</w:t>
      </w:r>
    </w:p>
    <w:p>
      <w:pPr>
        <w:pStyle w:val="Heading3"/>
      </w:pPr>
      <w:r>
        <w:rPr>
          <w:rFonts w:ascii="Times New Roman" w:hAnsi="Times New Roman" w:eastAsia="Times New Roman"/>
          <w:b/>
          <w:color w:val="000000"/>
          <w:sz w:val="20"/>
        </w:rPr>
        <w:t>Scientific question</w:t>
      </w:r>
    </w:p>
    <w:p>
      <w:pPr>
        <w:keepLines w:val="0"/>
        <w:jc w:val="both"/>
      </w:pPr>
      <w:r>
        <w:rPr>
          <w:rFonts w:ascii="Times New Roman" w:hAnsi="Times New Roman" w:eastAsia="Times New Roman"/>
          <w:b w:val="0"/>
          <w:color w:val="000000"/>
          <w:sz w:val="20"/>
        </w:rPr>
        <w:t>In biomarker-enriched preataxic or very-early-manifest SCA3, does an allele-preferential mutant-ATXN3-lowering regimen both reduce CSF mutant ATXN3 and slow pontine tissue loss over 104 weeks, with an acceptable safety profile?</w:t>
      </w:r>
    </w:p>
    <w:p>
      <w:pPr>
        <w:keepLines w:val="0"/>
        <w:jc w:val="both"/>
      </w:pPr>
      <w:r>
        <w:rPr>
          <w:rFonts w:ascii="Times New Roman" w:hAnsi="Times New Roman" w:eastAsia="Times New Roman"/>
          <w:b w:val="0"/>
          <w:color w:val="000000"/>
          <w:sz w:val="20"/>
        </w:rPr>
        <w:t>This is a biological-activity Phase 2 trial. It is not a registration trial and is not powered to establish delayed disability or phenoconversion.</w:t>
      </w:r>
    </w:p>
    <w:p>
      <w:pPr>
        <w:pStyle w:val="Heading3"/>
      </w:pPr>
      <w:r>
        <w:rPr>
          <w:rFonts w:ascii="Times New Roman" w:hAnsi="Times New Roman" w:eastAsia="Times New Roman"/>
          <w:b/>
          <w:color w:val="000000"/>
          <w:sz w:val="20"/>
        </w:rPr>
        <w:t>Activation gates</w:t>
      </w:r>
    </w:p>
    <w:p>
      <w:pPr>
        <w:keepLines w:val="0"/>
        <w:jc w:val="both"/>
      </w:pPr>
      <w:r>
        <w:rPr>
          <w:rFonts w:ascii="Times New Roman" w:hAnsi="Times New Roman" w:eastAsia="Times New Roman"/>
          <w:b w:val="0"/>
          <w:color w:val="000000"/>
          <w:sz w:val="20"/>
        </w:rPr>
        <w:t>Randomization may begin only when all of the following are documented:</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color w:val="000000"/>
          <w:sz w:val="20"/>
        </w:rPr>
        <w:t>SCA3-specific exposure:</w:t>
      </w:r>
      <w:r>
        <w:rPr>
          <w:rFonts w:ascii="Times New Roman" w:hAnsi="Times New Roman" w:eastAsia="Times New Roman"/>
          <w:b w:val="0"/>
          <w:color w:val="000000"/>
          <w:sz w:val="20"/>
        </w:rPr>
        <w:t xml:space="preserve"> at least 12 adults with early-manifest SCA3 have received the intended dose or a pharmacokinetically equivalent exposure in an antecedent study and completed at least 26 weeks of follow-up. Huntington disease data alone are insufficient.</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color w:val="000000"/>
          <w:sz w:val="20"/>
        </w:rPr>
        <w:t>Dose selection:</w:t>
      </w:r>
      <w:r>
        <w:rPr>
          <w:rFonts w:ascii="Times New Roman" w:hAnsi="Times New Roman" w:eastAsia="Times New Roman"/>
          <w:b w:val="0"/>
          <w:color w:val="000000"/>
          <w:sz w:val="20"/>
        </w:rPr>
        <w:t xml:space="preserve"> an RP2D and interval are selected from integrated SCA3 safety, CSF pharmacokinetic, mutant-ATXN3, total/wild-type ATXN3, NfL, and MRI data. No dose is inferred from a press release or another genotype.</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color w:val="000000"/>
          <w:sz w:val="20"/>
        </w:rPr>
        <w:t>Target engagement:</w:t>
      </w:r>
      <w:r>
        <w:rPr>
          <w:rFonts w:ascii="Times New Roman" w:hAnsi="Times New Roman" w:eastAsia="Times New Roman"/>
          <w:b w:val="0"/>
          <w:color w:val="000000"/>
          <w:sz w:val="20"/>
        </w:rPr>
        <w:t xml:space="preserve"> the antecedent SCA3 data meet a prospectively agreed minimum mutant-ATXN3 reduction and show no exposure-related loss of normal ATXN3 function. The numerical threshold is locked with regulators before this protocol opens.</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color w:val="000000"/>
          <w:sz w:val="20"/>
        </w:rPr>
        <w:t>Safety:</w:t>
      </w:r>
      <w:r>
        <w:rPr>
          <w:rFonts w:ascii="Times New Roman" w:hAnsi="Times New Roman" w:eastAsia="Times New Roman"/>
          <w:b w:val="0"/>
          <w:color w:val="000000"/>
          <w:sz w:val="20"/>
        </w:rPr>
        <w:t xml:space="preserve"> no unresolved dose-limiting neuroinflammatory, hepatic, renal, haematological, or imaging signal exists at the RP2D.</w:t>
      </w:r>
    </w:p>
    <w:p>
      <w:pPr>
        <w:spacing w:after="60" w:line="276" w:lineRule="auto"/>
        <w:ind w:left="360" w:hanging="259"/>
      </w:pPr>
      <w:r>
        <w:rPr>
          <w:rFonts w:ascii="Times New Roman" w:hAnsi="Times New Roman" w:eastAsia="Times New Roman"/>
          <w:color w:val="000000"/>
          <w:sz w:val="20"/>
        </w:rPr>
        <w:t xml:space="preserve">5. </w:t>
      </w:r>
      <w:r>
        <w:rPr>
          <w:rFonts w:ascii="Times New Roman" w:hAnsi="Times New Roman" w:eastAsia="Times New Roman"/>
          <w:b/>
          <w:color w:val="000000"/>
          <w:sz w:val="20"/>
        </w:rPr>
        <w:t>Assay readiness:</w:t>
      </w:r>
      <w:r>
        <w:rPr>
          <w:rFonts w:ascii="Times New Roman" w:hAnsi="Times New Roman" w:eastAsia="Times New Roman"/>
          <w:b w:val="0"/>
          <w:color w:val="000000"/>
          <w:sz w:val="20"/>
        </w:rPr>
        <w:t xml:space="preserve"> the CSF mutant-ATXN3 assay is analytically validated for precision, dilutional parallelism, freeze-thaw stability, and longitudinal lot bridging. The MRI core meets prespecified pons-volume repeatability criteria.</w:t>
      </w:r>
    </w:p>
    <w:p>
      <w:pPr>
        <w:spacing w:after="60" w:line="276" w:lineRule="auto"/>
        <w:ind w:left="360" w:hanging="259"/>
      </w:pPr>
      <w:r>
        <w:rPr>
          <w:rFonts w:ascii="Times New Roman" w:hAnsi="Times New Roman" w:eastAsia="Times New Roman"/>
          <w:color w:val="000000"/>
          <w:sz w:val="20"/>
        </w:rPr>
        <w:t xml:space="preserve">6. </w:t>
      </w:r>
      <w:r>
        <w:rPr>
          <w:rFonts w:ascii="Times New Roman" w:hAnsi="Times New Roman" w:eastAsia="Times New Roman"/>
          <w:b/>
          <w:color w:val="000000"/>
          <w:sz w:val="20"/>
        </w:rPr>
        <w:t>Regulatory concurrence:</w:t>
      </w:r>
      <w:r>
        <w:rPr>
          <w:rFonts w:ascii="Times New Roman" w:hAnsi="Times New Roman" w:eastAsia="Times New Roman"/>
          <w:b w:val="0"/>
          <w:color w:val="000000"/>
          <w:sz w:val="20"/>
        </w:rPr>
        <w:t xml:space="preserve"> the sponsor and regulators agree that biomarker-positive preataxic enrolment is ethically supportable after the within-trial sentinel gate below.</w:t>
      </w:r>
    </w:p>
    <w:p>
      <w:pPr>
        <w:keepLines w:val="0"/>
        <w:jc w:val="both"/>
      </w:pPr>
      <w:r>
        <w:rPr>
          <w:rFonts w:ascii="Times New Roman" w:hAnsi="Times New Roman" w:eastAsia="Times New Roman"/>
          <w:b w:val="0"/>
          <w:color w:val="000000"/>
          <w:sz w:val="20"/>
        </w:rPr>
        <w:t>As of the evidence date, these gates cannot be declared satisfied from public SCA3 efficacy data.</w:t>
      </w:r>
    </w:p>
    <w:p>
      <w:pPr>
        <w:pStyle w:val="Heading3"/>
      </w:pPr>
      <w:r>
        <w:rPr>
          <w:rFonts w:ascii="Times New Roman" w:hAnsi="Times New Roman" w:eastAsia="Times New Roman"/>
          <w:b/>
          <w:color w:val="000000"/>
          <w:sz w:val="20"/>
        </w:rPr>
        <w:t>Design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Phase 2, multicentre, randomized, double-blind, matching intrathecal-placebo controlled, parallel group;</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120 randomized participants, 60 per group;</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target allocation of approximately 60 very-early-manifest and 60 biomarker-positive preataxic participants;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screening/run-in of 12 weeks, treatment through week 78, primary imaging follow-up at week 104, and off-dose pharmacodynamic follow-up through week 130;</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four intrathecal administrations at day 1 and weeks 26, 52, and 78, using the regulator-agreed RP2D; an exact milligram dose is deliberately not specified before the activation gates are passed;</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no crossover before the week-104 primary endpoint.</w:t>
      </w:r>
    </w:p>
    <w:p>
      <w:pPr>
        <w:pStyle w:val="Heading3"/>
      </w:pPr>
      <w:r>
        <w:rPr>
          <w:rFonts w:ascii="Times New Roman" w:hAnsi="Times New Roman" w:eastAsia="Times New Roman"/>
          <w:b/>
          <w:color w:val="000000"/>
          <w:sz w:val="20"/>
        </w:rPr>
        <w:t>Delayed opening of the preataxic stratum</w:t>
      </w:r>
    </w:p>
    <w:p>
      <w:pPr>
        <w:keepLines w:val="0"/>
        <w:jc w:val="both"/>
      </w:pPr>
      <w:r>
        <w:rPr>
          <w:rFonts w:ascii="Times New Roman" w:hAnsi="Times New Roman" w:eastAsia="Times New Roman"/>
          <w:b w:val="0"/>
          <w:color w:val="000000"/>
          <w:sz w:val="20"/>
        </w:rPr>
        <w:t>The trial initially enrols only very-early-manifest participants. Preataxic enrolment opens only after at least 12 active-treated early-manifest participants have completed week 26 and the DSMB confirms all of the following:</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no treatment-related death or programme-pause event;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no persistent group-level adverse NfL trajectory;</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no inflammatory MRI pattern or sustained CSF pleocytosis attributable to treatment;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target engagement is present at the RP2D;</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the observed risk remains proportionate to the uncertain benefit of treatment before ataxia.</w:t>
      </w:r>
    </w:p>
    <w:p>
      <w:pPr>
        <w:keepLines w:val="0"/>
        <w:jc w:val="both"/>
      </w:pPr>
      <w:r>
        <w:rPr>
          <w:rFonts w:ascii="Times New Roman" w:hAnsi="Times New Roman" w:eastAsia="Times New Roman"/>
          <w:b w:val="0"/>
          <w:color w:val="000000"/>
          <w:sz w:val="20"/>
        </w:rPr>
        <w:t>Failure of this gate closes the preataxic stratum without terminating already-enrolled follow-up.</w:t>
      </w:r>
    </w:p>
    <w:p>
      <w:pPr>
        <w:pStyle w:val="Heading3"/>
      </w:pPr>
      <w:r>
        <w:rPr>
          <w:rFonts w:ascii="Times New Roman" w:hAnsi="Times New Roman" w:eastAsia="Times New Roman"/>
          <w:b/>
          <w:color w:val="000000"/>
          <w:sz w:val="20"/>
        </w:rPr>
        <w:t>Eligibility</w:t>
      </w:r>
    </w:p>
    <w:p>
      <w:pPr>
        <w:pStyle w:val="Heading3"/>
      </w:pPr>
      <w:r>
        <w:rPr>
          <w:rFonts w:ascii="Times New Roman" w:hAnsi="Times New Roman" w:eastAsia="Times New Roman"/>
          <w:b/>
          <w:color w:val="000000"/>
          <w:sz w:val="20"/>
        </w:rPr>
        <w:t>Inclusion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age 25-65 years;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 pathogenic ATXN3 CAG expansion confirmed by an accredited laboratory, with repeat size and assay method recorded;</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one of two disease-stage definitions:</w:t>
      </w:r>
    </w:p>
    <w:p>
      <w:pPr>
        <w:spacing w:after="60" w:line="276" w:lineRule="auto"/>
        <w:ind w:left="72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very early manifest:</w:t>
      </w:r>
      <w:r>
        <w:rPr>
          <w:rFonts w:ascii="Times New Roman" w:hAnsi="Times New Roman" w:eastAsia="Times New Roman"/>
          <w:b w:val="0"/>
          <w:color w:val="000000"/>
          <w:sz w:val="20"/>
        </w:rPr>
        <w:t xml:space="preserve"> SARA 3-10 at two visits at least 6 weeks apart; or</w:t>
      </w:r>
    </w:p>
    <w:p>
      <w:pPr>
        <w:spacing w:after="60" w:line="276" w:lineRule="auto"/>
        <w:ind w:left="72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biomarker-positive preataxic:</w:t>
      </w:r>
      <w:r>
        <w:rPr>
          <w:rFonts w:ascii="Times New Roman" w:hAnsi="Times New Roman" w:eastAsia="Times New Roman"/>
          <w:b w:val="0"/>
          <w:color w:val="000000"/>
          <w:sz w:val="20"/>
        </w:rPr>
        <w:t xml:space="preserve"> SARA less than 3 at two visits, age- and sex-adjusted plasma NfL z-score at least 2 on two samples 8-12 weeks apart, and either a locked prediction of clinical onset within 10 years or a prespecified abnormal brainstem/diffusion MRI marker;</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stable rehabilitation and symptomatic medication for at least 8 weeks;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ability to complete lumbar puncture, MRI, digital motor testing, and longitudinal follow-up;</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adequate hepatic, renal, haematological, and coagulation function.</w:t>
      </w:r>
    </w:p>
    <w:p>
      <w:pPr>
        <w:keepLines w:val="0"/>
        <w:jc w:val="both"/>
      </w:pPr>
      <w:r>
        <w:rPr>
          <w:rFonts w:ascii="Times New Roman" w:hAnsi="Times New Roman" w:eastAsia="Times New Roman"/>
          <w:b w:val="0"/>
          <w:color w:val="000000"/>
          <w:sz w:val="20"/>
        </w:rPr>
        <w:t>NfL z-score at least 2 is a research enrichment rule, not a qualified surrogate endpoint or a stand-alone indication for treatment. Acute infection, trauma, renal dysfunction, and other plausible causes of NfL elevation must be excluded before confirmation.</w:t>
      </w:r>
    </w:p>
    <w:p>
      <w:pPr>
        <w:pStyle w:val="Heading3"/>
      </w:pPr>
      <w:r>
        <w:rPr>
          <w:rFonts w:ascii="Times New Roman" w:hAnsi="Times New Roman" w:eastAsia="Times New Roman"/>
          <w:b/>
          <w:color w:val="000000"/>
          <w:sz w:val="20"/>
        </w:rPr>
        <w:t>Exclusion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another pathogenic neurodegenerative expansion or neurological disorder likely to affect outcomes;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clinically important brain, spinal, or systemic disease that increases lumbar-puncture risk or disrupts CSF circulation;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recent major infection, head trauma, stroke, or surgery likely to distort NfL or imaging;</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prior oligonucleotide or siRNA exposure unless product-specific washout and regulator review support eligibility;</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uncontrolled psychiatric illness, active suicidal intent, or inability to provide informed consent;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pregnancy, breastfeeding, or planned pregnancy during the risk window;</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MRI contraindication, clinically important coagulopathy, or protocol-defined thrombocytopenia.</w:t>
      </w:r>
    </w:p>
    <w:p>
      <w:pPr>
        <w:pStyle w:val="Heading3"/>
      </w:pPr>
      <w:r>
        <w:rPr>
          <w:rFonts w:ascii="Times New Roman" w:hAnsi="Times New Roman" w:eastAsia="Times New Roman"/>
          <w:b/>
          <w:color w:val="000000"/>
          <w:sz w:val="20"/>
        </w:rPr>
        <w:t>Randomization and masking</w:t>
      </w:r>
    </w:p>
    <w:p>
      <w:pPr>
        <w:keepLines w:val="0"/>
        <w:jc w:val="both"/>
      </w:pPr>
      <w:r>
        <w:rPr>
          <w:rFonts w:ascii="Times New Roman" w:hAnsi="Times New Roman" w:eastAsia="Times New Roman"/>
          <w:b w:val="0"/>
          <w:color w:val="000000"/>
          <w:sz w:val="20"/>
        </w:rPr>
        <w:t>Randomization is 1:1 through a central system, stratified by disease stage, CAG-repeat band, site, sex, and baseline pons-volume z-score. Allocation uses concealed randomly varying blocks. Participants, treating clinicians other than the procedure team, outcome assessors, imaging analysts, laboratory personnel, and the sponsor's efficacy team remain blinded. Active and placebo groups undergo the same lumbar-puncture schedule and standardized peri-procedural care.</w:t>
      </w:r>
    </w:p>
    <w:p>
      <w:pPr>
        <w:pStyle w:val="Heading3"/>
      </w:pPr>
      <w:r>
        <w:rPr>
          <w:rFonts w:ascii="Times New Roman" w:hAnsi="Times New Roman" w:eastAsia="Times New Roman"/>
          <w:b/>
          <w:color w:val="000000"/>
          <w:sz w:val="20"/>
        </w:rPr>
        <w:t>Visit schedule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screening weeks -12 and -6: eligibility, repeat SARA, NfL confirmation, genetic counselling, safety laboratory tests;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MRI at approximately week -8 and baseline to quantify short-term measurement error on the same qualified scanner;</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dosing at day 1 and weeks 26, 52, and 78;</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safety visits or contacts at days 2, 8, and 15 after each administration and at least every 13 weeks;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CSF pharmacokinetic/pharmacodynamic collection at baseline and weeks 26, 52, 78, 104, and 130 when ethically and technically feasible; samples at dosing visits are collected before that visit's dose;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MRI at baseline and weeks 52, 104, and 130;</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clinical, patient-reported, and digital assessments at baseline and weeks 13, 26, 39, 52, 65, 78, 91, 104, and 130.</w:t>
      </w:r>
    </w:p>
    <w:p>
      <w:pPr>
        <w:pStyle w:val="Heading3"/>
      </w:pPr>
      <w:r>
        <w:rPr>
          <w:rFonts w:ascii="Times New Roman" w:hAnsi="Times New Roman" w:eastAsia="Times New Roman"/>
          <w:b/>
          <w:color w:val="000000"/>
          <w:sz w:val="20"/>
        </w:rPr>
        <w:t>Co-primary endpoints and success criterion</w:t>
      </w:r>
    </w:p>
    <w:p>
      <w:pPr>
        <w:keepLines w:val="0"/>
        <w:jc w:val="both"/>
      </w:pPr>
      <w:r>
        <w:rPr>
          <w:rFonts w:ascii="Times New Roman" w:hAnsi="Times New Roman" w:eastAsia="Times New Roman"/>
          <w:b w:val="0"/>
          <w:color w:val="000000"/>
          <w:sz w:val="20"/>
        </w:rPr>
        <w:t>Both co-primary endpoints must succeed:</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the week-26 active-to-placebo geometric-mean ratio of CSF mutant ATXN3 concentration, adjusted for baseline on the log scale;</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annualized percentage change in centrally segmented pons volume from baseline through week 104.</w:t>
      </w:r>
    </w:p>
    <w:p>
      <w:pPr>
        <w:keepLines w:val="0"/>
        <w:jc w:val="both"/>
      </w:pPr>
      <w:r>
        <w:rPr>
          <w:rFonts w:ascii="Times New Roman" w:hAnsi="Times New Roman" w:eastAsia="Times New Roman"/>
          <w:b w:val="0"/>
          <w:color w:val="000000"/>
          <w:sz w:val="20"/>
        </w:rPr>
        <w:t>The trial is positive only if both comparisons favour active treatment and each two-sided test has P less than 0.05. This intersection-union rule does not spend alpha across the co-primary endpoints because both, rather than either, are required. A target-engagement result without a pons-volume result is reported as biological activity without evidence of slowed disease activity.</w:t>
      </w:r>
    </w:p>
    <w:p>
      <w:pPr>
        <w:pStyle w:val="Heading3"/>
      </w:pPr>
      <w:r>
        <w:rPr>
          <w:rFonts w:ascii="Times New Roman" w:hAnsi="Times New Roman" w:eastAsia="Times New Roman"/>
          <w:b/>
          <w:color w:val="000000"/>
          <w:sz w:val="20"/>
        </w:rPr>
        <w:t>Secondary and exploratory endpoints</w:t>
      </w:r>
    </w:p>
    <w:p>
      <w:pPr>
        <w:keepLines w:val="0"/>
        <w:jc w:val="both"/>
      </w:pPr>
      <w:r>
        <w:rPr>
          <w:rFonts w:ascii="Times New Roman" w:hAnsi="Times New Roman" w:eastAsia="Times New Roman"/>
          <w:b w:val="0"/>
          <w:color w:val="000000"/>
          <w:sz w:val="20"/>
        </w:rPr>
        <w:t>The fixed-sequence key-secondary hierarchy is:</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superior and inferior cerebellar peduncle diffusion metrics;</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cerebellar white-matter, medulla, and superior cerebellar peduncle volumes;</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val="0"/>
          <w:color w:val="000000"/>
          <w:sz w:val="20"/>
        </w:rPr>
        <w:t>SARA slope through week 104;</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val="0"/>
          <w:color w:val="000000"/>
          <w:sz w:val="20"/>
        </w:rPr>
        <w:t>FARS-ADL and PROM-Ataxia;</w:t>
      </w:r>
    </w:p>
    <w:p>
      <w:pPr>
        <w:spacing w:after="60" w:line="276" w:lineRule="auto"/>
        <w:ind w:left="360" w:hanging="259"/>
      </w:pPr>
      <w:r>
        <w:rPr>
          <w:rFonts w:ascii="Times New Roman" w:hAnsi="Times New Roman" w:eastAsia="Times New Roman"/>
          <w:color w:val="000000"/>
          <w:sz w:val="20"/>
        </w:rPr>
        <w:t xml:space="preserve">5. </w:t>
      </w:r>
      <w:r>
        <w:rPr>
          <w:rFonts w:ascii="Times New Roman" w:hAnsi="Times New Roman" w:eastAsia="Times New Roman"/>
          <w:b w:val="0"/>
          <w:color w:val="000000"/>
          <w:sz w:val="20"/>
        </w:rPr>
        <w:t>home-video SARA and wearable gait/balance measures;</w:t>
      </w:r>
    </w:p>
    <w:p>
      <w:pPr>
        <w:spacing w:after="60" w:line="276" w:lineRule="auto"/>
        <w:ind w:left="360" w:hanging="259"/>
      </w:pPr>
      <w:r>
        <w:rPr>
          <w:rFonts w:ascii="Times New Roman" w:hAnsi="Times New Roman" w:eastAsia="Times New Roman"/>
          <w:color w:val="000000"/>
          <w:sz w:val="20"/>
        </w:rPr>
        <w:t xml:space="preserve">6. </w:t>
      </w:r>
      <w:r>
        <w:rPr>
          <w:rFonts w:ascii="Times New Roman" w:hAnsi="Times New Roman" w:eastAsia="Times New Roman"/>
          <w:b w:val="0"/>
          <w:color w:val="000000"/>
          <w:sz w:val="20"/>
        </w:rPr>
        <w:t>plasma NfL.</w:t>
      </w:r>
    </w:p>
    <w:p>
      <w:pPr>
        <w:keepLines w:val="0"/>
        <w:jc w:val="both"/>
      </w:pPr>
      <w:r>
        <w:rPr>
          <w:rFonts w:ascii="Times New Roman" w:hAnsi="Times New Roman" w:eastAsia="Times New Roman"/>
          <w:b w:val="0"/>
          <w:color w:val="000000"/>
          <w:sz w:val="20"/>
        </w:rPr>
        <w:t>Other outcomes include total and wild-type ATXN3, MRS, eye movements, 9-hole peg test, timed walk, quality of life, and time to SARA at least 3 in the preataxic stratum. Phenoconversion is exploratory because few events are expected.</w:t>
      </w:r>
    </w:p>
    <w:p>
      <w:pPr>
        <w:pStyle w:val="Heading3"/>
      </w:pPr>
      <w:r>
        <w:rPr>
          <w:rFonts w:ascii="Times New Roman" w:hAnsi="Times New Roman" w:eastAsia="Times New Roman"/>
          <w:b/>
          <w:color w:val="000000"/>
          <w:sz w:val="20"/>
        </w:rPr>
        <w:t>Estimands</w:t>
      </w:r>
    </w:p>
    <w:p>
      <w:pPr>
        <w:pStyle w:val="Heading3"/>
      </w:pPr>
      <w:r>
        <w:rPr>
          <w:rFonts w:ascii="Times New Roman" w:hAnsi="Times New Roman" w:eastAsia="Times New Roman"/>
          <w:b/>
          <w:color w:val="000000"/>
          <w:sz w:val="20"/>
        </w:rPr>
        <w:t>Target-engagement estimand</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Population:</w:t>
      </w:r>
      <w:r>
        <w:rPr>
          <w:rFonts w:ascii="Times New Roman" w:hAnsi="Times New Roman" w:eastAsia="Times New Roman"/>
          <w:b w:val="0"/>
          <w:color w:val="000000"/>
          <w:sz w:val="20"/>
        </w:rPr>
        <w:t xml:space="preserve"> all randomized eligible participants;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treatment conditions:</w:t>
      </w:r>
      <w:r>
        <w:rPr>
          <w:rFonts w:ascii="Times New Roman" w:hAnsi="Times New Roman" w:eastAsia="Times New Roman"/>
          <w:b w:val="0"/>
          <w:color w:val="000000"/>
          <w:sz w:val="20"/>
        </w:rPr>
        <w:t xml:space="preserve"> assignment to the RP2D strategy or matching placebo;</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variable:</w:t>
      </w:r>
      <w:r>
        <w:rPr>
          <w:rFonts w:ascii="Times New Roman" w:hAnsi="Times New Roman" w:eastAsia="Times New Roman"/>
          <w:b w:val="0"/>
          <w:color w:val="000000"/>
          <w:sz w:val="20"/>
        </w:rPr>
        <w:t xml:space="preserve"> log-transformed week-26 CSF mutant ATXN3 concentration, with log baseline concentration included in the model;</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intercurrent events:</w:t>
      </w:r>
      <w:r>
        <w:rPr>
          <w:rFonts w:ascii="Times New Roman" w:hAnsi="Times New Roman" w:eastAsia="Times New Roman"/>
          <w:b w:val="0"/>
          <w:color w:val="000000"/>
          <w:sz w:val="20"/>
        </w:rPr>
        <w:t xml:space="preserve"> temporary dose holds, discontinuation, and changes in symptomatic therapy use a treatment-policy strategy; data are collected after discontinuation whenever possible;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summary:</w:t>
      </w:r>
      <w:r>
        <w:rPr>
          <w:rFonts w:ascii="Times New Roman" w:hAnsi="Times New Roman" w:eastAsia="Times New Roman"/>
          <w:b w:val="0"/>
          <w:color w:val="000000"/>
          <w:sz w:val="20"/>
        </w:rPr>
        <w:t xml:space="preserve"> adjusted active-to-placebo geometric-mean ratio, with percentage difference reported as </w:t>
      </w:r>
      <m:oMath>
        <m:r>
          <m:rPr>
            <m:nor/>
          </m:rPr>
          <m:t>100</m:t>
        </m:r>
        <m:r>
          <m:rPr>
            <m:nor/>
          </m:rPr>
          <m:t>×</m:t>
        </m:r>
        <m:r>
          <m:rPr>
            <m:nor/>
          </m:rPr>
          <m:t>(</m:t>
        </m:r>
        <m:r>
          <m:rPr>
            <m:nor/>
          </m:rPr>
          <m:t>ratio</m:t>
        </m:r>
        <m:r>
          <m:rPr>
            <m:nor/>
          </m:rPr>
          <m:t>-</m:t>
        </m:r>
        <m:r>
          <m:rPr>
            <m:nor/>
          </m:rPr>
          <m:t>1</m:t>
        </m:r>
        <m:r>
          <m:rPr>
            <m:nor/>
          </m:rPr>
          <m:t>)</m:t>
        </m:r>
      </m:oMath>
      <w:r>
        <w:rPr>
          <w:rFonts w:ascii="Times New Roman" w:hAnsi="Times New Roman" w:eastAsia="Times New Roman"/>
          <w:b w:val="0"/>
          <w:color w:val="000000"/>
          <w:sz w:val="20"/>
        </w:rPr>
        <w:t>.</w:t>
      </w:r>
    </w:p>
    <w:p>
      <w:pPr>
        <w:pStyle w:val="Heading3"/>
      </w:pPr>
      <w:r>
        <w:rPr>
          <w:rFonts w:ascii="Times New Roman" w:hAnsi="Times New Roman" w:eastAsia="Times New Roman"/>
          <w:b/>
          <w:color w:val="000000"/>
          <w:sz w:val="20"/>
        </w:rPr>
        <w:t>Disease-activity estimand</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Population:</w:t>
      </w:r>
      <w:r>
        <w:rPr>
          <w:rFonts w:ascii="Times New Roman" w:hAnsi="Times New Roman" w:eastAsia="Times New Roman"/>
          <w:b w:val="0"/>
          <w:color w:val="000000"/>
          <w:sz w:val="20"/>
        </w:rPr>
        <w:t xml:space="preserve"> all randomized eligible participants;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treatment conditions:</w:t>
      </w:r>
      <w:r>
        <w:rPr>
          <w:rFonts w:ascii="Times New Roman" w:hAnsi="Times New Roman" w:eastAsia="Times New Roman"/>
          <w:b w:val="0"/>
          <w:color w:val="000000"/>
          <w:sz w:val="20"/>
        </w:rPr>
        <w:t xml:space="preserve"> assignment to the RP2D strategy or matching placebo through week 104;</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variable:</w:t>
      </w:r>
      <w:r>
        <w:rPr>
          <w:rFonts w:ascii="Times New Roman" w:hAnsi="Times New Roman" w:eastAsia="Times New Roman"/>
          <w:b w:val="0"/>
          <w:color w:val="000000"/>
          <w:sz w:val="20"/>
        </w:rPr>
        <w:t xml:space="preserve"> annualized percentage pons-volume change through week 104 among participants alive at the relevant imaging time, explicitly defining a while-alive disease-activity estimand;</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intercurrent events:</w:t>
      </w:r>
      <w:r>
        <w:rPr>
          <w:rFonts w:ascii="Times New Roman" w:hAnsi="Times New Roman" w:eastAsia="Times New Roman"/>
          <w:b w:val="0"/>
          <w:color w:val="000000"/>
          <w:sz w:val="20"/>
        </w:rPr>
        <w:t xml:space="preserve"> temporary or permanent treatment discontinuation and add-on symptomatic treatment use a treatment-policy strategy; death terminates the while-alive variable rather than generating an invented MRI value, and disease-related inability to undergo MRI is followed with all feasible clinical outcomes and addressed in sensitivity analyses;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summary:</w:t>
      </w:r>
      <w:r>
        <w:rPr>
          <w:rFonts w:ascii="Times New Roman" w:hAnsi="Times New Roman" w:eastAsia="Times New Roman"/>
          <w:b w:val="0"/>
          <w:color w:val="000000"/>
          <w:sz w:val="20"/>
        </w:rPr>
        <w:t xml:space="preserve"> adjusted between-group difference in mean slope.</w:t>
      </w:r>
    </w:p>
    <w:p>
      <w:pPr>
        <w:keepLines w:val="0"/>
        <w:jc w:val="both"/>
      </w:pPr>
      <w:r>
        <w:rPr>
          <w:rFonts w:ascii="Times New Roman" w:hAnsi="Times New Roman" w:eastAsia="Times New Roman"/>
          <w:b w:val="0"/>
          <w:color w:val="000000"/>
          <w:sz w:val="20"/>
        </w:rPr>
        <w:t>Supplemental while-on-treatment and per-protocol estimands are reported but do not replace the primary treatment-policy conclusions.</w:t>
      </w:r>
    </w:p>
    <w:p>
      <w:pPr>
        <w:pStyle w:val="Heading3"/>
      </w:pPr>
      <w:r>
        <w:rPr>
          <w:rFonts w:ascii="Times New Roman" w:hAnsi="Times New Roman" w:eastAsia="Times New Roman"/>
          <w:b/>
          <w:color w:val="000000"/>
          <w:sz w:val="20"/>
        </w:rPr>
        <w:t>Statistical analysis</w:t>
      </w:r>
    </w:p>
    <w:p>
      <w:pPr>
        <w:keepLines w:val="0"/>
        <w:jc w:val="both"/>
      </w:pPr>
      <w:r>
        <w:rPr>
          <w:rFonts w:ascii="Times New Roman" w:hAnsi="Times New Roman" w:eastAsia="Times New Roman"/>
          <w:b w:val="0"/>
          <w:color w:val="000000"/>
          <w:sz w:val="20"/>
        </w:rPr>
        <w:t>The target-engagement endpoint uses a baseline-adjusted linear model on log-transformed concentrations, with treatment, disease stage, CAG band, site region, sex, and the relevant baseline value. Values below quantification follow a prespecified censored-data rule.</w:t>
      </w:r>
    </w:p>
    <w:p>
      <w:pPr>
        <w:keepLines w:val="0"/>
        <w:jc w:val="both"/>
      </w:pPr>
      <w:r>
        <w:rPr>
          <w:rFonts w:ascii="Times New Roman" w:hAnsi="Times New Roman" w:eastAsia="Times New Roman"/>
          <w:b w:val="0"/>
          <w:color w:val="000000"/>
          <w:sz w:val="20"/>
        </w:rPr>
        <w:t>The pons endpoint uses a longitudinal mixed model on log pons volume with continuous time in years, a treatment-by-time term, participant-specific random intercept, and, if supported, random slope. Fixed effects include stage, CAG band, site region, sex, intracranial volume, scanner change, and the two baseline scans; prespecified time terms may model common non-linearity without changing the treatment-by-linear-time primary contrast. The treatment-by-time coefficient is annualized and back-transformed to a percentage slope difference. A categorical-visit model and its adjusted week-104 contrast are supportive sensitivity analyses, not the primary slope test. Scanner changes are avoided; unavoidable changes trigger phantom calibration and a prespecified sensitivity analysis.</w:t>
      </w:r>
    </w:p>
    <w:p>
      <w:pPr>
        <w:keepLines w:val="0"/>
        <w:jc w:val="both"/>
      </w:pPr>
      <w:r>
        <w:rPr>
          <w:rFonts w:ascii="Times New Roman" w:hAnsi="Times New Roman" w:eastAsia="Times New Roman"/>
          <w:b w:val="0"/>
          <w:color w:val="000000"/>
          <w:sz w:val="20"/>
        </w:rPr>
        <w:t>Sensitivity analyses include reference-based multiple imputation, jump-to-reference after treatment discontinuation, pattern-mixture models, tipping-point analyses, a per-protocol analysis, and a no-borrowing analysis if supplemental natural-history borrowing is used. A prespecified hierarchical composite sensitivity ranks death first, disease-related imaging inability second, and observed pons slope third, using a generalized pairwise or rank-based comparison. A material reversal between that analysis and the while-alive mean-slope analysis precludes an unqualified positive disease-activity interpretation. Model assumptions, convergence rules, outlier handling, and estimand-aligned missing-data procedures must be finalized before unblinding.</w:t>
      </w:r>
    </w:p>
    <w:p>
      <w:pPr>
        <w:pStyle w:val="Heading3"/>
      </w:pPr>
      <w:r>
        <w:rPr>
          <w:rFonts w:ascii="Times New Roman" w:hAnsi="Times New Roman" w:eastAsia="Times New Roman"/>
          <w:b/>
          <w:color w:val="000000"/>
          <w:sz w:val="20"/>
        </w:rPr>
        <w:t>Sample-size rationale</w:t>
      </w:r>
    </w:p>
    <w:p>
      <w:pPr>
        <w:keepLines w:val="0"/>
        <w:jc w:val="both"/>
      </w:pPr>
      <w:r>
        <w:rPr>
          <w:rFonts w:ascii="Times New Roman" w:hAnsi="Times New Roman" w:eastAsia="Times New Roman"/>
          <w:b w:val="0"/>
          <w:color w:val="000000"/>
          <w:sz w:val="20"/>
        </w:rPr>
        <w:t>The longitudinal ESMI analysis reported a biomarker-stage pons-volume sensitivity-to-change ratio of approximately 1.41. As an explicitly approximate planning calculation, multiplying 1.41 by an assumed fractional slowing gives a standardized treatment effect. With 80% power, two-sided alpha 0.05, equal allocation, and 15% attrition, the approximate randomized requirements are:</w:t>
      </w:r>
    </w:p>
    <w:tbl>
      <w:tblPr>
        <w:tblStyle w:val="TableGrid"/>
        <w:tblW w:type="dxa" w:w="9360"/>
        <w:tblLayout w:type="fixed"/>
        <w:tblLook w:firstColumn="1" w:firstRow="1" w:lastColumn="0" w:lastRow="0" w:noHBand="0" w:noVBand="1" w:val="04A0"/>
        <w:tblInd w:w="120" w:type="dxa"/>
      </w:tblPr>
      <w:tblGrid>
        <w:gridCol w:w="4896"/>
        <w:gridCol w:w="2232"/>
        <w:gridCol w:w="2232"/>
      </w:tblGrid>
      <w:tr>
        <w:trPr>
          <w:tblHeader w:val="true"/>
          <w:cantSplit w:val="true"/>
        </w:trPr>
        <w:tc>
          <w:tcPr>
            <w:tcW w:type="dxa" w:w="4896"/>
            <w:tcMar>
              <w:top w:w="80" w:type="dxa"/>
              <w:start w:w="120" w:type="dxa"/>
              <w:bottom w:w="80" w:type="dxa"/>
              <w:end w:w="120" w:type="dxa"/>
            </w:tcMar>
            <w:vAlign w:val="center"/>
            <w:shd w:fill="EDEDED"/>
          </w:tcPr>
          <w:p>
            <w:pPr>
              <w:spacing w:before="0" w:after="0" w:line="252" w:lineRule="auto"/>
            </w:pPr>
            <w:r>
              <w:rPr>
                <w:rFonts w:ascii="Times New Roman" w:hAnsi="Times New Roman" w:eastAsia="Times New Roman"/>
                <w:b/>
                <w:color w:val="000000"/>
                <w:sz w:val="17"/>
              </w:rPr>
              <w:t>Assumed pons-volume slowing</w:t>
            </w:r>
          </w:p>
        </w:tc>
        <w:tc>
          <w:tcPr>
            <w:tcW w:type="dxa" w:w="2232"/>
            <w:tcMar>
              <w:top w:w="80" w:type="dxa"/>
              <w:start w:w="120" w:type="dxa"/>
              <w:bottom w:w="80" w:type="dxa"/>
              <w:end w:w="120" w:type="dxa"/>
            </w:tcMar>
            <w:vAlign w:val="center"/>
            <w:shd w:fill="EDEDED"/>
          </w:tcPr>
          <w:p>
            <w:pPr>
              <w:spacing w:before="0" w:after="0" w:line="252" w:lineRule="auto"/>
            </w:pPr>
            <w:r>
              <w:rPr>
                <w:rFonts w:ascii="Times New Roman" w:hAnsi="Times New Roman" w:eastAsia="Times New Roman"/>
                <w:b/>
                <w:color w:val="000000"/>
                <w:sz w:val="17"/>
              </w:rPr>
              <w:t>Approximate randomized per group</w:t>
            </w:r>
          </w:p>
        </w:tc>
        <w:tc>
          <w:tcPr>
            <w:tcW w:type="dxa" w:w="2232"/>
            <w:tcMar>
              <w:top w:w="80" w:type="dxa"/>
              <w:start w:w="120" w:type="dxa"/>
              <w:bottom w:w="80" w:type="dxa"/>
              <w:end w:w="120" w:type="dxa"/>
            </w:tcMar>
            <w:vAlign w:val="center"/>
            <w:shd w:fill="EDEDED"/>
          </w:tcPr>
          <w:p>
            <w:pPr>
              <w:spacing w:before="0" w:after="0" w:line="252" w:lineRule="auto"/>
            </w:pPr>
            <w:r>
              <w:rPr>
                <w:rFonts w:ascii="Times New Roman" w:hAnsi="Times New Roman" w:eastAsia="Times New Roman"/>
                <w:b/>
                <w:color w:val="000000"/>
                <w:sz w:val="17"/>
              </w:rPr>
              <w:t>Approximate total</w:t>
            </w:r>
          </w:p>
        </w:tc>
      </w:tr>
      <w:tr>
        <w:trPr>
          <w:cantSplit w:val="true"/>
        </w:trPr>
        <w:tc>
          <w:tcPr>
            <w:tcW w:type="dxa" w:w="4896"/>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30%</w:t>
            </w:r>
          </w:p>
        </w:tc>
        <w:tc>
          <w:tcPr>
            <w:tcW w:type="dxa" w:w="2232"/>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105</w:t>
            </w:r>
          </w:p>
        </w:tc>
        <w:tc>
          <w:tcPr>
            <w:tcW w:type="dxa" w:w="2232"/>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210</w:t>
            </w:r>
          </w:p>
        </w:tc>
      </w:tr>
      <w:tr>
        <w:trPr>
          <w:cantSplit w:val="true"/>
        </w:trPr>
        <w:tc>
          <w:tcPr>
            <w:tcW w:type="dxa" w:w="4896"/>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40%</w:t>
            </w:r>
          </w:p>
        </w:tc>
        <w:tc>
          <w:tcPr>
            <w:tcW w:type="dxa" w:w="2232"/>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59</w:t>
            </w:r>
          </w:p>
        </w:tc>
        <w:tc>
          <w:tcPr>
            <w:tcW w:type="dxa" w:w="2232"/>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118</w:t>
            </w:r>
          </w:p>
        </w:tc>
      </w:tr>
      <w:tr>
        <w:trPr>
          <w:cantSplit w:val="true"/>
        </w:trPr>
        <w:tc>
          <w:tcPr>
            <w:tcW w:type="dxa" w:w="4896"/>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50%</w:t>
            </w:r>
          </w:p>
        </w:tc>
        <w:tc>
          <w:tcPr>
            <w:tcW w:type="dxa" w:w="2232"/>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39</w:t>
            </w:r>
          </w:p>
        </w:tc>
        <w:tc>
          <w:tcPr>
            <w:tcW w:type="dxa" w:w="2232"/>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78</w:t>
            </w:r>
          </w:p>
        </w:tc>
      </w:tr>
    </w:tbl>
    <w:p>
      <w:pPr>
        <w:spacing w:after="40"/>
      </w:pPr>
    </w:p>
    <w:p>
      <w:pPr>
        <w:keepLines w:val="0"/>
        <w:jc w:val="both"/>
      </w:pPr>
      <w:r>
        <w:rPr>
          <w:rFonts w:ascii="Times New Roman" w:hAnsi="Times New Roman" w:eastAsia="Times New Roman"/>
          <w:b w:val="0"/>
          <w:color w:val="000000"/>
          <w:sz w:val="20"/>
        </w:rPr>
        <w:t>The target of 120 is therefore a Phase 2 scenario centred on an approximately 40% pons-volume effect. The table describes marginal power for the pons endpoint only; it does not establish power for joint co-primary success. Joint power also depends on the agent-specific target-engagement effect, variance, endpoint dependence, and missingness. Final sizing requires simulation from participant-level ESMI or READISCA repeated-measure covariance, expected stage mix, scanner reliability, target-engagement assumptions, and the co-primary success rule.</w:t>
      </w:r>
    </w:p>
    <w:p>
      <w:pPr>
        <w:pStyle w:val="Heading3"/>
      </w:pPr>
      <w:r>
        <w:rPr>
          <w:rFonts w:ascii="Times New Roman" w:hAnsi="Times New Roman" w:eastAsia="Times New Roman"/>
          <w:b/>
          <w:color w:val="000000"/>
          <w:sz w:val="20"/>
        </w:rPr>
        <w:t>Interim decisions and multiplicity</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DSMB safety reviews occur after the first 6 and first 12 active recipients reach the relevant post-dose windows and then at least every 6 months;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the delayed-preataxic gate is assessed after 12 active early-manifest participants reach week 26;</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one blinded variance re-estimation is allowed at 50% imaging information without examining treatment effects;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one non-binding futility review is allowed at approximately 50% information. Stopping is considered when conditional power is below 10% and target engagement is below the prospectively locked minimum;</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no early efficacy stop is planned;</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after both co-primary endpoints succeed, key-secondary hypotheses use fixed-sequence gatekeeping. All remaining analyses are explicitly exploratory with confidence intervals or false-discovery-rate control as appropriate.</w:t>
      </w:r>
    </w:p>
    <w:p>
      <w:pPr>
        <w:pStyle w:val="Heading3"/>
      </w:pPr>
      <w:r>
        <w:rPr>
          <w:rFonts w:ascii="Times New Roman" w:hAnsi="Times New Roman" w:eastAsia="Times New Roman"/>
          <w:b/>
          <w:color w:val="000000"/>
          <w:sz w:val="20"/>
        </w:rPr>
        <w:t>Safety monitoring and stopping</w:t>
      </w:r>
    </w:p>
    <w:p>
      <w:pPr>
        <w:keepLines w:val="0"/>
        <w:jc w:val="both"/>
      </w:pPr>
      <w:r>
        <w:rPr>
          <w:rFonts w:ascii="Times New Roman" w:hAnsi="Times New Roman" w:eastAsia="Times New Roman"/>
          <w:b w:val="0"/>
          <w:color w:val="000000"/>
          <w:sz w:val="20"/>
        </w:rPr>
        <w:t>Safety includes adverse events, neurological examination, cognition and mood, C-SSRS, post-lumbar-puncture complications, CBC and platelets, PT/INR/aPTT, renal and hepatic chemistry, urinalysis, CSF cells/protein, structural MRI including FLAIR and susceptibility-sensitive sequences, NfL, total ATXN3, and wild-type ATXN3.</w:t>
      </w:r>
    </w:p>
    <w:p>
      <w:pPr>
        <w:keepLines w:val="0"/>
        <w:jc w:val="both"/>
      </w:pPr>
      <w:r>
        <w:rPr>
          <w:rFonts w:ascii="Times New Roman" w:hAnsi="Times New Roman" w:eastAsia="Times New Roman"/>
          <w:b w:val="0"/>
          <w:color w:val="000000"/>
          <w:sz w:val="20"/>
        </w:rPr>
        <w:t>Product-specific thresholds are finalized in the investigator's brochure. At minimum, dosing is held pending medical-monitor review for a major platelet decline, clinically important coagulation abnormality, new inflammatory MRI finding, persistent CSF pleocytosis, confirmed unexplained NfL increase greater than 50% from baseline, or a grade 3 or higher neurological or systemic event. Permanent discontinuation is required for a related serious adverse reaction when rechallenge is unsafe, a Hy's-law pattern, pregnancy, or persistent inflammatory CSF/MRI toxicity.</w:t>
      </w:r>
    </w:p>
    <w:p>
      <w:pPr>
        <w:keepLines w:val="0"/>
        <w:jc w:val="both"/>
      </w:pPr>
      <w:r>
        <w:rPr>
          <w:rFonts w:ascii="Times New Roman" w:hAnsi="Times New Roman" w:eastAsia="Times New Roman"/>
          <w:b w:val="0"/>
          <w:color w:val="000000"/>
          <w:sz w:val="20"/>
        </w:rPr>
        <w:t>The programme pauses for DSMB review after a treatment-related death, two similar treatment-related grade 3 or higher neurological events, or another predefined aggregate toxicity boundary. Safety stopping does not require statistical significance.</w:t>
      </w:r>
    </w:p>
    <w:p>
      <w:pPr>
        <w:pStyle w:val="Heading3"/>
      </w:pPr>
      <w:r>
        <w:rPr>
          <w:rFonts w:ascii="Times New Roman" w:hAnsi="Times New Roman" w:eastAsia="Times New Roman"/>
          <w:b/>
          <w:color w:val="000000"/>
          <w:sz w:val="20"/>
        </w:rPr>
        <w:t>Reversibility claim</w:t>
      </w:r>
    </w:p>
    <w:p>
      <w:pPr>
        <w:keepLines w:val="0"/>
        <w:jc w:val="both"/>
      </w:pPr>
      <w:r>
        <w:rPr>
          <w:rFonts w:ascii="Times New Roman" w:hAnsi="Times New Roman" w:eastAsia="Times New Roman"/>
          <w:b w:val="0"/>
          <w:color w:val="000000"/>
          <w:sz w:val="20"/>
        </w:rPr>
        <w:t xml:space="preserve">An oligonucleotide with a long CNS half-life is not rapidly reversible. The week-104 to week-130 off-dose period measures persistence and pharmacodynamic rebound; it cannot be presented as proof that acute toxicity or target suppression is immediately reversible. The appropriate term is </w:t>
      </w:r>
      <w:r>
        <w:rPr>
          <w:rFonts w:ascii="Times New Roman" w:hAnsi="Times New Roman" w:eastAsia="Times New Roman"/>
          <w:b w:val="0"/>
          <w:i/>
          <w:color w:val="000000"/>
          <w:sz w:val="20"/>
        </w:rPr>
        <w:t>dose-adjustable molecular lowering</w:t>
      </w:r>
      <w:r>
        <w:rPr>
          <w:rFonts w:ascii="Times New Roman" w:hAnsi="Times New Roman" w:eastAsia="Times New Roman"/>
          <w:b w:val="0"/>
          <w:color w:val="000000"/>
          <w:sz w:val="20"/>
        </w:rPr>
        <w:t>, not an immediately reversible circuit downshift.</w:t>
      </w:r>
    </w:p>
    <w:p>
      <w:pPr>
        <w:pStyle w:val="Heading2"/>
      </w:pPr>
      <w:r>
        <w:rPr>
          <w:rFonts w:ascii="Times New Roman" w:hAnsi="Times New Roman" w:eastAsia="Times New Roman"/>
          <w:b/>
          <w:color w:val="000000"/>
          <w:sz w:val="22"/>
        </w:rPr>
        <w:t>Module B: early-manifest SCA6 L-arginine Phase 2b trial</w:t>
      </w:r>
    </w:p>
    <w:p>
      <w:pPr>
        <w:pStyle w:val="Heading3"/>
      </w:pPr>
      <w:r>
        <w:rPr>
          <w:rFonts w:ascii="Times New Roman" w:hAnsi="Times New Roman" w:eastAsia="Times New Roman"/>
          <w:b/>
          <w:color w:val="000000"/>
          <w:sz w:val="20"/>
        </w:rPr>
        <w:t>Scientific question</w:t>
      </w:r>
    </w:p>
    <w:p>
      <w:pPr>
        <w:keepLines w:val="0"/>
        <w:jc w:val="both"/>
      </w:pPr>
      <w:r>
        <w:rPr>
          <w:rFonts w:ascii="Times New Roman" w:hAnsi="Times New Roman" w:eastAsia="Times New Roman"/>
          <w:b w:val="0"/>
          <w:color w:val="000000"/>
          <w:sz w:val="20"/>
        </w:rPr>
        <w:t>In ambulatory adults with early-manifest polyglutamine-expansion SCA6, does 72 weeks of high-dose oral L-arginine improve or stabilize ataxia compared with matching placebo, and what happens to the treatment difference during a 12-week blinded withdrawal?</w:t>
      </w:r>
    </w:p>
    <w:p>
      <w:pPr>
        <w:keepLines w:val="0"/>
        <w:jc w:val="both"/>
      </w:pPr>
      <w:r>
        <w:rPr>
          <w:rFonts w:ascii="Times New Roman" w:hAnsi="Times New Roman" w:eastAsia="Times New Roman"/>
          <w:b w:val="0"/>
          <w:color w:val="000000"/>
          <w:sz w:val="20"/>
        </w:rPr>
        <w:t>This trial tests a known chemical-chaperone candidate. It does not test CACNA1A lowering, an unidentified environmental input, or an unvalidated physical-field intervention.</w:t>
      </w:r>
    </w:p>
    <w:p>
      <w:pPr>
        <w:pStyle w:val="Heading3"/>
      </w:pPr>
      <w:r>
        <w:rPr>
          <w:rFonts w:ascii="Times New Roman" w:hAnsi="Times New Roman" w:eastAsia="Times New Roman"/>
          <w:b/>
          <w:color w:val="000000"/>
          <w:sz w:val="20"/>
        </w:rPr>
        <w:t>Evidence boundary</w:t>
      </w:r>
    </w:p>
    <w:p>
      <w:pPr>
        <w:keepLines w:val="0"/>
        <w:jc w:val="both"/>
      </w:pPr>
      <w:r>
        <w:rPr>
          <w:rFonts w:ascii="Times New Roman" w:hAnsi="Times New Roman" w:eastAsia="Times New Roman"/>
          <w:b w:val="0"/>
          <w:color w:val="000000"/>
          <w:sz w:val="20"/>
        </w:rPr>
        <w:t>The completed 40-participant Phase 2 trial enrolled participants with SARA 10 or greater; mean baseline SARA was approximately 15. It reported a 48-week SARA difference of -1.52 points, with a 95% confidence interval from -3.10 to 0.06 and P=0.0582. The trial was exploratory and did not establish efficacy. Serious adverse events occurred in 2 of 20 active participants and 5 of 20 placebo participants. The fatal pneumonia and reversible abnormal-liver-function event in the active group were classified as serious adverse reactions because a causal relationship to study treatment could not be ruled out.</w:t>
      </w:r>
    </w:p>
    <w:p>
      <w:pPr>
        <w:keepLines w:val="0"/>
        <w:jc w:val="both"/>
      </w:pPr>
      <w:r>
        <w:rPr>
          <w:rFonts w:ascii="Times New Roman" w:hAnsi="Times New Roman" w:eastAsia="Times New Roman"/>
          <w:b w:val="0"/>
          <w:color w:val="000000"/>
          <w:sz w:val="20"/>
        </w:rPr>
        <w:t>Participants with SARA 3-9 were not studied in that trial. Extending the regimen into this earlier range introduces unresolved floor-effect, placebo-response, adherence, and safety uncertainty; the observed effect in participants with baseline SARA around 15 cannot be assumed to transport to SARA 3-9. The prior result is therefore a planning signal, not a confirmed treatment effect or direct evidence for the full population proposed here.</w:t>
      </w:r>
    </w:p>
    <w:p>
      <w:pPr>
        <w:keepLines w:val="0"/>
        <w:jc w:val="both"/>
      </w:pPr>
      <w:r>
        <w:rPr>
          <w:rFonts w:ascii="Times New Roman" w:hAnsi="Times New Roman" w:eastAsia="Times New Roman"/>
          <w:b w:val="0"/>
          <w:color w:val="000000"/>
          <w:sz w:val="20"/>
        </w:rPr>
        <w:t>Premanifest SCA6 carriers are excluded from Module B. Current SCA6 NfL, MRI, and MRS data do not provide a sufficiently validated progression marker to justify exposing asymptomatic adults to this regimen. The ongoing or planned N-acetyl-L-leucine and adaptive-DBS studies address different questions and do not remove this uncertainty.</w:t>
      </w:r>
    </w:p>
    <w:p>
      <w:pPr>
        <w:pStyle w:val="Heading3"/>
      </w:pPr>
      <w:r>
        <w:rPr>
          <w:rFonts w:ascii="Times New Roman" w:hAnsi="Times New Roman" w:eastAsia="Times New Roman"/>
          <w:b/>
          <w:color w:val="000000"/>
          <w:sz w:val="20"/>
        </w:rPr>
        <w:t>Design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Phase 2b, multicentre, randomized, quadruple-blind, matching-placebo controlled, parallel group;</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240 participants, 120 per group;</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72-week treatment period followed by a 12-week blinded withdrawal period;</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active participants switch to matching placebo at week 72; participants originally assigned placebo remain on placebo, preserving outcome-assessor masking through week 84;</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no open-label extension before completion of the withdrawal analysis.</w:t>
      </w:r>
    </w:p>
    <w:p>
      <w:pPr>
        <w:pStyle w:val="Heading3"/>
      </w:pPr>
      <w:r>
        <w:rPr>
          <w:rFonts w:ascii="Times New Roman" w:hAnsi="Times New Roman" w:eastAsia="Times New Roman"/>
          <w:b/>
          <w:color w:val="000000"/>
          <w:sz w:val="20"/>
        </w:rPr>
        <w:t>Eligibility</w:t>
      </w:r>
    </w:p>
    <w:p>
      <w:pPr>
        <w:pStyle w:val="Heading3"/>
      </w:pPr>
      <w:r>
        <w:rPr>
          <w:rFonts w:ascii="Times New Roman" w:hAnsi="Times New Roman" w:eastAsia="Times New Roman"/>
          <w:b/>
          <w:color w:val="000000"/>
          <w:sz w:val="20"/>
        </w:rPr>
        <w:t>Inclusion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age 30-80 years;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pathogenic C-terminal CACNA1A CAG expansion consistent with SCA6, confirmed by an accredited laboratory with repeat size and assay method recorded;</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SARA 3-12 at two visits at least 6 weeks apart;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gait item at least 1 and ability to walk 10 metres with or without a stable aid;</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reported motor disease duration no longer than 8 years;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stable rehabilitation, assistive device, and symptomatic medication for at least 8 weeks;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capacity for consent and completion of study procedures.</w:t>
      </w:r>
    </w:p>
    <w:p>
      <w:pPr>
        <w:keepLines w:val="0"/>
        <w:jc w:val="both"/>
      </w:pPr>
      <w:r>
        <w:rPr>
          <w:rFonts w:ascii="Times New Roman" w:hAnsi="Times New Roman" w:eastAsia="Times New Roman"/>
          <w:b w:val="0"/>
          <w:color w:val="000000"/>
          <w:sz w:val="20"/>
        </w:rPr>
        <w:t>Enrolment expands in three prespecified stages:</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The first 40 randomized participants are restricted to SARA 10-12, the portion of the proposed range that overlaps the prior trial's eligibility.</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SARA 5-9 opens only after those 40 participants reach the week-12 assessment window, or discontinue before it with disposition known, and the DSMB supports expansion at the Stage 1 gate. A second sentinel cohort of 40 randomized participants with SARA 5-9 is then accrued; SARA 10-12 recruitment may continue, but SARA 3-4 remains closed.</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val="0"/>
          <w:color w:val="000000"/>
          <w:sz w:val="20"/>
        </w:rPr>
        <w:t>SARA 3-4 opens only after the 40-participant SARA 5-9 sentinel cohort likewise reaches the week-12 assessment window, or discontinues before it with disposition known, and the DSMB supports expansion at the separate Stage 2 gate.</w:t>
      </w:r>
    </w:p>
    <w:p>
      <w:pPr>
        <w:keepLines w:val="0"/>
        <w:jc w:val="both"/>
      </w:pPr>
      <w:r>
        <w:rPr>
          <w:rFonts w:ascii="Times New Roman" w:hAnsi="Times New Roman" w:eastAsia="Times New Roman"/>
          <w:b w:val="0"/>
          <w:color w:val="000000"/>
          <w:sz w:val="20"/>
        </w:rPr>
        <w:t>Final recruitment is capped at 80 participants in each baseline SARA band (3-4, 5-9, and 10-12), with 1:1 randomization within band. Thus the primary marginal treatment effect is standardized to fixed one-third weights across the three bands, rather than to the realized recruitment mix. After the first 40-person SARA 10-12 sentinel cohort, that band may continue only to its cap of 80. After the 40-person SARA 5-9 sentinel cohort passes Stage 2, all open bands may recruit only to their separate 80-person caps. If a gate does not open, the registered 240-person, three-band estimand cannot be completed; follow-up continues, recruitment pauses, and any narrower-population trial requires a prospective amendment and new power calculation rather than post-hoc reweighting.</w:t>
      </w:r>
    </w:p>
    <w:p>
      <w:pPr>
        <w:keepLines w:val="0"/>
        <w:jc w:val="both"/>
      </w:pPr>
      <w:r>
        <w:rPr>
          <w:rFonts w:ascii="Times New Roman" w:hAnsi="Times New Roman" w:eastAsia="Times New Roman"/>
          <w:b w:val="0"/>
          <w:color w:val="000000"/>
          <w:sz w:val="20"/>
        </w:rPr>
        <w:t xml:space="preserve">At each gate, the DSMB reviews unblinded safety against the module's hold, discontinuation, and programme-pause rules. A gate passes only if </w:t>
      </w:r>
      <w:r>
        <w:rPr>
          <w:rFonts w:ascii="Times New Roman" w:hAnsi="Times New Roman" w:eastAsia="Times New Roman"/>
          <w:b/>
          <w:color w:val="000000"/>
          <w:sz w:val="20"/>
        </w:rPr>
        <w:t>all</w:t>
      </w:r>
      <w:r>
        <w:rPr>
          <w:rFonts w:ascii="Times New Roman" w:hAnsi="Times New Roman" w:eastAsia="Times New Roman"/>
          <w:b w:val="0"/>
          <w:color w:val="000000"/>
          <w:sz w:val="20"/>
        </w:rPr>
        <w:t xml:space="preserve"> of the following locked criteria are met in the relevant 40-person sentinel cohort: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no treatment-related death, Hy's-law case, or programme-pause trigger; no more than two active participants have a treatment-related serious adverse reaction, and no more than three active participants permanently discontinue because of toxicity;</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at least 85% of all randomized sentinel participants are alive and retained through the week-12 window;</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at least 80% receive at least 80% of planned doses through week 12;</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at least 90% of participants alive and available at week 12 have a centrally scorable SARA assessment, and no more than 10% use protocol-defined rescue treatment before that visit;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using the forecasting algorithm below, the blinded pooled data give an upper one-sided 80% confidence bound of at most 3.0 points for the within-band SD of SARA change and an upper one-sided 80% confidence bound of at most 15% for the proportion predicted to have SARA 0 or 1 at either primary contrast visit in the next proposed band.</w:t>
      </w:r>
    </w:p>
    <w:p>
      <w:pPr>
        <w:keepLines w:val="0"/>
        <w:jc w:val="both"/>
      </w:pPr>
      <w:r>
        <w:rPr>
          <w:rFonts w:ascii="Times New Roman" w:hAnsi="Times New Roman" w:eastAsia="Times New Roman"/>
          <w:b w:val="0"/>
          <w:color w:val="000000"/>
          <w:sz w:val="20"/>
        </w:rPr>
        <w:t>Before each gate, at least 20 consented candidates in the next proposed band complete the same two-visit baseline SARA run-in without study drug. The locked forecast uses their empirical baseline distribution, the blinded sentinel repeated-measures covariance, and externally sourced untreated mean trajectories frozen in the DSMB charter. A 10,000-draw parametric bootstrap from a SARA-bounded longitudinal model produces the two upper one-sided 80% bounds; a treatment contrast is neither estimated nor supplied. Failure of any numerical criterion keeps the next band closed. Passing every criterion permits, but does not compel, expansion: the DSMB may keep a band closed for an unanticipated safety concern, but it may not waive a failed threshold. The model form, random seed, external inputs, definitions, and source datasets must be copied into the DSMB charter before enrolment. No between-group efficacy estimate is used to open a lower-SARA band.</w:t>
      </w:r>
    </w:p>
    <w:p>
      <w:pPr>
        <w:pStyle w:val="Heading3"/>
      </w:pPr>
      <w:r>
        <w:rPr>
          <w:rFonts w:ascii="Times New Roman" w:hAnsi="Times New Roman" w:eastAsia="Times New Roman"/>
          <w:b/>
          <w:color w:val="000000"/>
          <w:sz w:val="20"/>
        </w:rPr>
        <w:t>Exclusion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episodic-only EA2, familial hemiplegic migraine without progressive SCA6, or another CACNA1A variant without the SCA6 polyglutamine expansion;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arginase deficiency, lysinuric protein intolerance, clinically important liver disease, estimated glomerular filtration rate below 45 mL/min/1.73 m2, persistent hyperkalaemia, or clinically important metabolic acidosis;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unsafe swallowing or aspiration risk not mitigated by a documented plan;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recent myocardial infarction or unstable cardiovascular disease;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MMSE 23 or lower, uncontrolled major psychiatric illness, active suicidal intent, or inability to consent;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pregnancy, breastfeeding, or inability to follow pregnancy-prevention requirements;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use of an L-arginine-containing supplement within 30 days or participation in another interventional trial within the product-specific washout.</w:t>
      </w:r>
    </w:p>
    <w:p>
      <w:pPr>
        <w:pStyle w:val="Heading3"/>
      </w:pPr>
      <w:r>
        <w:rPr>
          <w:rFonts w:ascii="Times New Roman" w:hAnsi="Times New Roman" w:eastAsia="Times New Roman"/>
          <w:b/>
          <w:color w:val="000000"/>
          <w:sz w:val="20"/>
        </w:rPr>
        <w:t>Randomization and masking</w:t>
      </w:r>
    </w:p>
    <w:p>
      <w:pPr>
        <w:keepLines w:val="0"/>
        <w:jc w:val="both"/>
      </w:pPr>
      <w:r>
        <w:rPr>
          <w:rFonts w:ascii="Times New Roman" w:hAnsi="Times New Roman" w:eastAsia="Times New Roman"/>
          <w:b w:val="0"/>
          <w:color w:val="000000"/>
          <w:sz w:val="20"/>
        </w:rPr>
        <w:t>Randomization is 1:1 through a central system, stratified by site region, baseline SARA band (3-4, 5-9, or 10-12), CAG-repeat band, disease duration, sex, and body weight above versus at most 70 kg. Active and placebo granules are matched in appearance, packaging, dosing weight, and schedule. Participants, caregivers, investigators, outcome assessors, and sponsor efficacy personnel remain blinded. Plasma arginine results that could reveal allocation are withheld from the blinded team unless required for safety.</w:t>
      </w:r>
    </w:p>
    <w:p>
      <w:pPr>
        <w:pStyle w:val="Heading3"/>
      </w:pPr>
      <w:r>
        <w:rPr>
          <w:rFonts w:ascii="Times New Roman" w:hAnsi="Times New Roman" w:eastAsia="Times New Roman"/>
          <w:b/>
          <w:color w:val="000000"/>
          <w:sz w:val="20"/>
        </w:rPr>
        <w:t>Dose and treatment schedule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weeks 0-2: active granule product 0.25 g/kg/day, delivering L-arginine 0.19 g/kg/day, or matching placebo in three divided oral doses;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weeks 3-72: active granule product 0.50 g/kg/day, delivering L-arginine 0.38 g/kg/day, or matching placebo in three divided oral doses;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maximum active granule product: 33 g/day, corresponding to no more than 25.08 g/day of L-arginine at the prior formulation's 0.76 g/g content;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weeks 72-84: all participants receive matching placebo under continued blinding.</w:t>
      </w:r>
    </w:p>
    <w:p>
      <w:pPr>
        <w:keepLines w:val="0"/>
        <w:jc w:val="both"/>
      </w:pPr>
      <w:r>
        <w:rPr>
          <w:rFonts w:ascii="Times New Roman" w:hAnsi="Times New Roman" w:eastAsia="Times New Roman"/>
          <w:b w:val="0"/>
          <w:color w:val="000000"/>
          <w:sz w:val="20"/>
        </w:rPr>
        <w:t>Dose is rounded only according to the validated clinical formulation. Dose escalation beyond 0.38 g/kg/day of L-arginine or above 33 g/day of active granule product is prohibited without separate human safety data and a protocol amendment. Adherence is measured by returned packaging, dosing diary, and masked pharmacokinetic sampling.</w:t>
      </w:r>
    </w:p>
    <w:p>
      <w:pPr>
        <w:pStyle w:val="Heading3"/>
      </w:pPr>
      <w:r>
        <w:rPr>
          <w:rFonts w:ascii="Times New Roman" w:hAnsi="Times New Roman" w:eastAsia="Times New Roman"/>
          <w:b/>
          <w:color w:val="000000"/>
          <w:sz w:val="20"/>
        </w:rPr>
        <w:t>Visit schedule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screening and confirmation at approximately weeks -8 and -2;</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clinic visits at baseline and weeks 2, 4, 8, 12, 24, 36, 48, 60, 68, 72, 76, and 84;</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remote safety contact between early titration visits and as clinically indicated;</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blinded SARA video capture at baseline and weeks 12, 24, 36, 48, 60, 68, 72, 76, and 84;</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MRI/MRS at baseline, week 36, week 72, and optionally week 84;</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blood safety and pharmacokinetic sampling at each clinic visit, with intensified hepatic, renal, electrolyte, and metabolic monitoring during titration.</w:t>
      </w:r>
    </w:p>
    <w:p>
      <w:pPr>
        <w:pStyle w:val="Heading3"/>
      </w:pPr>
      <w:r>
        <w:rPr>
          <w:rFonts w:ascii="Times New Roman" w:hAnsi="Times New Roman" w:eastAsia="Times New Roman"/>
          <w:b/>
          <w:color w:val="000000"/>
          <w:sz w:val="20"/>
        </w:rPr>
        <w:t>Primary endpoint</w:t>
      </w:r>
    </w:p>
    <w:p>
      <w:pPr>
        <w:keepLines w:val="0"/>
        <w:jc w:val="both"/>
      </w:pPr>
      <w:r>
        <w:rPr>
          <w:rFonts w:ascii="Times New Roman" w:hAnsi="Times New Roman" w:eastAsia="Times New Roman"/>
          <w:b w:val="0"/>
          <w:color w:val="000000"/>
          <w:sz w:val="20"/>
        </w:rPr>
        <w:t xml:space="preserve">The primary endpoint is the late-treatment SARA contrast through week 72, defined as the equally weighted mean of adjusted change from baseline at weeks 68 and 72. All scheduled observations through week 72 contribute to the repeated-measures covariance model, but they do not change the prespecified </w:t>
      </w:r>
      <m:oMath>
        <m:r>
          <m:rPr>
            <m:nor/>
          </m:rPr>
          <m:t>0</m:t>
        </m:r>
        <m:r>
          <m:rPr>
            <m:nor/>
          </m:rPr>
          <m:t>.</m:t>
        </m:r>
        <m:r>
          <m:rPr>
            <m:nor/>
          </m:rPr>
          <m:t>5</m:t>
        </m:r>
        <m:r>
          <m:rPr>
            <m:nor/>
          </m:rPr>
          <m:t> </m:t>
        </m:r>
        <m:r>
          <m:rPr>
            <m:nor/>
          </m:rPr>
          <m:t>×</m:t>
        </m:r>
        <m:r>
          <m:rPr>
            <m:nor/>
          </m:rPr>
          <m:t> </m:t>
        </m:r>
        <m:r>
          <m:rPr>
            <m:nor/>
          </m:rPr>
          <m:t>week</m:t>
        </m:r>
        <m:r>
          <m:rPr>
            <m:nor/>
          </m:rPr>
          <m:t> </m:t>
        </m:r>
        <m:r>
          <m:rPr>
            <m:nor/>
          </m:rPr>
          <m:t>68</m:t>
        </m:r>
        <m:r>
          <m:rPr>
            <m:nor/>
          </m:rPr>
          <m:t> </m:t>
        </m:r>
        <m:r>
          <m:rPr>
            <m:nor/>
          </m:rPr>
          <m:t>+</m:t>
        </m:r>
        <m:r>
          <m:rPr>
            <m:nor/>
          </m:rPr>
          <m:t> </m:t>
        </m:r>
        <m:r>
          <m:rPr>
            <m:nor/>
          </m:rPr>
          <m:t>0</m:t>
        </m:r>
        <m:r>
          <m:rPr>
            <m:nor/>
          </m:rPr>
          <m:t>.</m:t>
        </m:r>
        <m:r>
          <m:rPr>
            <m:nor/>
          </m:rPr>
          <m:t>5</m:t>
        </m:r>
        <m:r>
          <m:rPr>
            <m:nor/>
          </m:rPr>
          <m:t> </m:t>
        </m:r>
        <m:r>
          <m:rPr>
            <m:nor/>
          </m:rPr>
          <m:t>×</m:t>
        </m:r>
        <m:r>
          <m:rPr>
            <m:nor/>
          </m:rPr>
          <m:t> </m:t>
        </m:r>
        <m:r>
          <m:rPr>
            <m:nor/>
          </m:rPr>
          <m:t>week</m:t>
        </m:r>
        <m:r>
          <m:rPr>
            <m:nor/>
          </m:rPr>
          <m:t> </m:t>
        </m:r>
        <m:r>
          <m:rPr>
            <m:nor/>
          </m:rPr>
          <m:t>72</m:t>
        </m:r>
      </m:oMath>
      <w:r>
        <w:rPr>
          <w:rFonts w:ascii="Times New Roman" w:hAnsi="Times New Roman" w:eastAsia="Times New Roman"/>
          <w:b w:val="0"/>
          <w:color w:val="000000"/>
          <w:sz w:val="20"/>
        </w:rPr>
        <w:t xml:space="preserve"> contrast. This removes ambiguity and reduces dependence on one visit.</w:t>
      </w:r>
    </w:p>
    <w:p>
      <w:pPr>
        <w:pStyle w:val="Heading3"/>
      </w:pPr>
      <w:r>
        <w:rPr>
          <w:rFonts w:ascii="Times New Roman" w:hAnsi="Times New Roman" w:eastAsia="Times New Roman"/>
          <w:b/>
          <w:color w:val="000000"/>
          <w:sz w:val="20"/>
        </w:rPr>
        <w:t>Key-secondary and exploratory endpoints</w:t>
      </w:r>
    </w:p>
    <w:p>
      <w:pPr>
        <w:keepLines w:val="0"/>
        <w:jc w:val="both"/>
      </w:pPr>
      <w:r>
        <w:rPr>
          <w:rFonts w:ascii="Times New Roman" w:hAnsi="Times New Roman" w:eastAsia="Times New Roman"/>
          <w:b w:val="0"/>
          <w:color w:val="000000"/>
          <w:sz w:val="20"/>
        </w:rPr>
        <w:t>The fixed-sequence key-secondary hierarchy is:</w:t>
      </w:r>
    </w:p>
    <w:p>
      <w:pPr>
        <w:spacing w:after="60" w:line="276" w:lineRule="auto"/>
        <w:ind w:left="360" w:hanging="259"/>
      </w:pPr>
      <w:r>
        <w:rPr>
          <w:rFonts w:ascii="Times New Roman" w:hAnsi="Times New Roman" w:eastAsia="Times New Roman"/>
          <w:color w:val="000000"/>
          <w:sz w:val="20"/>
        </w:rPr>
        <w:t xml:space="preserve">1. </w:t>
      </w:r>
      <w:r>
        <w:rPr>
          <w:rFonts w:ascii="Times New Roman" w:hAnsi="Times New Roman" w:eastAsia="Times New Roman"/>
          <w:b w:val="0"/>
          <w:color w:val="000000"/>
          <w:sz w:val="20"/>
        </w:rPr>
        <w:t>FARS-ADL change through week 72;</w:t>
      </w:r>
    </w:p>
    <w:p>
      <w:pPr>
        <w:spacing w:after="60" w:line="276" w:lineRule="auto"/>
        <w:ind w:left="360" w:hanging="259"/>
      </w:pPr>
      <w:r>
        <w:rPr>
          <w:rFonts w:ascii="Times New Roman" w:hAnsi="Times New Roman" w:eastAsia="Times New Roman"/>
          <w:color w:val="000000"/>
          <w:sz w:val="20"/>
        </w:rPr>
        <w:t xml:space="preserve">2. </w:t>
      </w:r>
      <w:r>
        <w:rPr>
          <w:rFonts w:ascii="Times New Roman" w:hAnsi="Times New Roman" w:eastAsia="Times New Roman"/>
          <w:b w:val="0"/>
          <w:color w:val="000000"/>
          <w:sz w:val="20"/>
        </w:rPr>
        <w:t>PROM-Ataxia and Patient Global Impression of Change;</w:t>
      </w:r>
    </w:p>
    <w:p>
      <w:pPr>
        <w:spacing w:after="60" w:line="276" w:lineRule="auto"/>
        <w:ind w:left="360" w:hanging="259"/>
      </w:pPr>
      <w:r>
        <w:rPr>
          <w:rFonts w:ascii="Times New Roman" w:hAnsi="Times New Roman" w:eastAsia="Times New Roman"/>
          <w:color w:val="000000"/>
          <w:sz w:val="20"/>
        </w:rPr>
        <w:t xml:space="preserve">3. </w:t>
      </w:r>
      <w:r>
        <w:rPr>
          <w:rFonts w:ascii="Times New Roman" w:hAnsi="Times New Roman" w:eastAsia="Times New Roman"/>
          <w:b w:val="0"/>
          <w:color w:val="000000"/>
          <w:sz w:val="20"/>
        </w:rPr>
        <w:t>centrally reviewed SARA gait-plus-stance change;</w:t>
      </w:r>
    </w:p>
    <w:p>
      <w:pPr>
        <w:spacing w:after="60" w:line="276" w:lineRule="auto"/>
        <w:ind w:left="360" w:hanging="259"/>
      </w:pPr>
      <w:r>
        <w:rPr>
          <w:rFonts w:ascii="Times New Roman" w:hAnsi="Times New Roman" w:eastAsia="Times New Roman"/>
          <w:color w:val="000000"/>
          <w:sz w:val="20"/>
        </w:rPr>
        <w:t xml:space="preserve">4. </w:t>
      </w:r>
      <w:r>
        <w:rPr>
          <w:rFonts w:ascii="Times New Roman" w:hAnsi="Times New Roman" w:eastAsia="Times New Roman"/>
          <w:b w:val="0"/>
          <w:color w:val="000000"/>
          <w:sz w:val="20"/>
        </w:rPr>
        <w:t>digital gait/balance composite and timed up-and-go;</w:t>
      </w:r>
    </w:p>
    <w:p>
      <w:pPr>
        <w:spacing w:after="60" w:line="276" w:lineRule="auto"/>
        <w:ind w:left="360" w:hanging="259"/>
      </w:pPr>
      <w:r>
        <w:rPr>
          <w:rFonts w:ascii="Times New Roman" w:hAnsi="Times New Roman" w:eastAsia="Times New Roman"/>
          <w:color w:val="000000"/>
          <w:sz w:val="20"/>
        </w:rPr>
        <w:t xml:space="preserve">5. </w:t>
      </w:r>
      <w:r>
        <w:rPr>
          <w:rFonts w:ascii="Times New Roman" w:hAnsi="Times New Roman" w:eastAsia="Times New Roman"/>
          <w:b w:val="0"/>
          <w:color w:val="000000"/>
          <w:sz w:val="20"/>
        </w:rPr>
        <w:t>cerebellar vermis and white-matter MRS tNAA/myo-inositol and structural MRI measures.</w:t>
      </w:r>
    </w:p>
    <w:p>
      <w:pPr>
        <w:keepLines w:val="0"/>
        <w:jc w:val="both"/>
      </w:pPr>
      <w:r>
        <w:rPr>
          <w:rFonts w:ascii="Times New Roman" w:hAnsi="Times New Roman" w:eastAsia="Times New Roman"/>
          <w:b w:val="0"/>
          <w:color w:val="000000"/>
          <w:sz w:val="20"/>
        </w:rPr>
        <w:t>Other exploratory endpoints include 10-metre walk, 9-hole peg test, falls, swallowing, fatigue, quality of life, plasma NfL, and metabolomic or pharmacokinetic measures. MRS is exploratory because current premanifest SCA6 evidence is small and largely cross-sectional.</w:t>
      </w:r>
    </w:p>
    <w:p>
      <w:pPr>
        <w:pStyle w:val="Heading3"/>
      </w:pPr>
      <w:r>
        <w:rPr>
          <w:rFonts w:ascii="Times New Roman" w:hAnsi="Times New Roman" w:eastAsia="Times New Roman"/>
          <w:b/>
          <w:color w:val="000000"/>
          <w:sz w:val="20"/>
        </w:rPr>
        <w:t>Withdrawal analysis and interpretation</w:t>
      </w:r>
    </w:p>
    <w:p>
      <w:pPr>
        <w:keepLines w:val="0"/>
        <w:jc w:val="both"/>
      </w:pPr>
      <w:r>
        <w:rPr>
          <w:rFonts w:ascii="Times New Roman" w:hAnsi="Times New Roman" w:eastAsia="Times New Roman"/>
          <w:b w:val="0"/>
          <w:color w:val="000000"/>
          <w:sz w:val="20"/>
        </w:rPr>
        <w:t>The prespecified withdrawal analysis compares change from week 72 to week 84 between original assignments with a treatment-by-withdrawal-time interaction.</w:t>
      </w:r>
    </w:p>
    <w:p>
      <w:pPr>
        <w:keepLines w:val="0"/>
        <w:jc w:val="both"/>
      </w:pPr>
      <w:r>
        <w:rPr>
          <w:rFonts w:ascii="Times New Roman" w:hAnsi="Times New Roman" w:eastAsia="Times New Roman"/>
          <w:b w:val="0"/>
          <w:color w:val="000000"/>
          <w:sz w:val="20"/>
        </w:rPr>
        <w:t>A constrained repeated-measures model uses SARA at weeks 72, 76, and 84, original assignment, withdrawal visit, original-assignment-by-visit, baseline SARA, baseline band, and randomization strata. The prespecified contrast is the between-assignment difference in week-84 minus week-72 change; week 76 improves covariance estimation and describes timing without replacing that contrast.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rapid loss of benefit after active treatment stops supports a reversible symptomatic or state-dependent effect;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persistence through week 84 supports carryover but does not by itself prove disease modification;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 disease-modification claim requires concordant durable clinical and biological trajectories in a longer, adequately powered study.</w:t>
      </w:r>
    </w:p>
    <w:p>
      <w:pPr>
        <w:keepLines w:val="0"/>
        <w:jc w:val="both"/>
      </w:pPr>
      <w:r>
        <w:rPr>
          <w:rFonts w:ascii="Times New Roman" w:hAnsi="Times New Roman" w:eastAsia="Times New Roman"/>
          <w:b w:val="0"/>
          <w:color w:val="000000"/>
          <w:sz w:val="20"/>
        </w:rPr>
        <w:t>No participant is deliberately worsened to prove reversibility. Rescue treatment remains available under predefined criteria and is handled as an intercurrent event.</w:t>
      </w:r>
    </w:p>
    <w:p>
      <w:pPr>
        <w:keepLines w:val="0"/>
        <w:jc w:val="both"/>
      </w:pPr>
      <w:r>
        <w:rPr>
          <w:rFonts w:ascii="Times New Roman" w:hAnsi="Times New Roman" w:eastAsia="Times New Roman"/>
          <w:b w:val="0"/>
          <w:color w:val="000000"/>
          <w:sz w:val="20"/>
        </w:rPr>
        <w:t>The exploratory withdrawal estimand is defined as follows: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population:</w:t>
      </w:r>
      <w:r>
        <w:rPr>
          <w:rFonts w:ascii="Times New Roman" w:hAnsi="Times New Roman" w:eastAsia="Times New Roman"/>
          <w:b w:val="0"/>
          <w:color w:val="000000"/>
          <w:sz w:val="20"/>
        </w:rPr>
        <w:t xml:space="preserve"> all randomized eligible participants, analysed by original assignment, who are alive at the relevant withdrawal assessment;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treatment conditions:</w:t>
      </w:r>
      <w:r>
        <w:rPr>
          <w:rFonts w:ascii="Times New Roman" w:hAnsi="Times New Roman" w:eastAsia="Times New Roman"/>
          <w:b w:val="0"/>
          <w:color w:val="000000"/>
          <w:sz w:val="20"/>
        </w:rPr>
        <w:t xml:space="preserve"> original assignment to L-arginine through week 72 followed by matching placebo through week 84 versus matching placebo throughout weeks 0-84;</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variable:</w:t>
      </w:r>
      <w:r>
        <w:rPr>
          <w:rFonts w:ascii="Times New Roman" w:hAnsi="Times New Roman" w:eastAsia="Times New Roman"/>
          <w:b w:val="0"/>
          <w:color w:val="000000"/>
          <w:sz w:val="20"/>
        </w:rPr>
        <w:t xml:space="preserve"> week-84 minus week-72 SARA, using week 76 to improve the repeated-measures covariance estimate but not to redefine the contrast;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intercurrent events:</w:t>
      </w:r>
      <w:r>
        <w:rPr>
          <w:rFonts w:ascii="Times New Roman" w:hAnsi="Times New Roman" w:eastAsia="Times New Roman"/>
          <w:b w:val="0"/>
          <w:color w:val="000000"/>
          <w:sz w:val="20"/>
        </w:rPr>
        <w:t xml:space="preserve"> pre-week-72 discontinuation and changes in symptomatic therapy use a treatment-policy strategy; protocol-defined rescue therapy during withdrawal also uses a treatment-policy strategy in the primary exploratory analysis and a hypothetical no-rescue strategy using censoring weights in sensitivity analysis; death terminates the while-alive variable, while loss of walking ability is scored as an observed clinical state where the SARA rules permit;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missing data:</w:t>
      </w:r>
      <w:r>
        <w:rPr>
          <w:rFonts w:ascii="Times New Roman" w:hAnsi="Times New Roman" w:eastAsia="Times New Roman"/>
          <w:b w:val="0"/>
          <w:color w:val="000000"/>
          <w:sz w:val="20"/>
        </w:rPr>
        <w:t xml:space="preserve"> all obtainable post-discontinuation and post-rescue assessments are used; missing week-84 data are multiply imputed under arm-specific missing-at-random models using baseline through week-76 history, followed by delta-adjusted and worst-reasonable-case tipping analyses;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summary:</w:t>
      </w:r>
      <w:r>
        <w:rPr>
          <w:rFonts w:ascii="Times New Roman" w:hAnsi="Times New Roman" w:eastAsia="Times New Roman"/>
          <w:b w:val="0"/>
          <w:color w:val="000000"/>
          <w:sz w:val="20"/>
        </w:rPr>
        <w:t xml:space="preserve"> adjusted difference between original assignments in mean week-72-to-week-84 SARA change, with a two-sided 95% confidence interval.</w:t>
      </w:r>
    </w:p>
    <w:p>
      <w:pPr>
        <w:keepLines w:val="0"/>
        <w:jc w:val="both"/>
      </w:pPr>
      <w:r>
        <w:rPr>
          <w:rFonts w:ascii="Times New Roman" w:hAnsi="Times New Roman" w:eastAsia="Times New Roman"/>
          <w:b w:val="0"/>
          <w:color w:val="000000"/>
          <w:sz w:val="20"/>
        </w:rPr>
        <w:t>Because no continued-active arm exists after week 72, this contrast cannot estimate what would have happened under continued L-arginine and cannot by itself distinguish pharmacological washout, natural fluctuation, carryover, or disease modification.</w:t>
      </w:r>
    </w:p>
    <w:p>
      <w:pPr>
        <w:pStyle w:val="Heading3"/>
      </w:pPr>
      <w:r>
        <w:rPr>
          <w:rFonts w:ascii="Times New Roman" w:hAnsi="Times New Roman" w:eastAsia="Times New Roman"/>
          <w:b/>
          <w:color w:val="000000"/>
          <w:sz w:val="20"/>
        </w:rPr>
        <w:t>Estimand</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Population:</w:t>
      </w:r>
      <w:r>
        <w:rPr>
          <w:rFonts w:ascii="Times New Roman" w:hAnsi="Times New Roman" w:eastAsia="Times New Roman"/>
          <w:b w:val="0"/>
          <w:color w:val="000000"/>
          <w:sz w:val="20"/>
        </w:rPr>
        <w:t xml:space="preserve"> all randomized eligible early-manifest SCA6 participants;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treatment conditions:</w:t>
      </w:r>
      <w:r>
        <w:rPr>
          <w:rFonts w:ascii="Times New Roman" w:hAnsi="Times New Roman" w:eastAsia="Times New Roman"/>
          <w:b w:val="0"/>
          <w:color w:val="000000"/>
          <w:sz w:val="20"/>
        </w:rPr>
        <w:t xml:space="preserve"> assignment to the 72-week L-arginine regimen or matching placebo;</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variable:</w:t>
      </w:r>
      <w:r>
        <w:rPr>
          <w:rFonts w:ascii="Times New Roman" w:hAnsi="Times New Roman" w:eastAsia="Times New Roman"/>
          <w:b w:val="0"/>
          <w:color w:val="000000"/>
          <w:sz w:val="20"/>
        </w:rPr>
        <w:t xml:space="preserve"> within each baseline SARA band, the equally weighted mean of week-68 and week-72 SARA changes from baseline;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intercurrent events:</w:t>
      </w:r>
      <w:r>
        <w:rPr>
          <w:rFonts w:ascii="Times New Roman" w:hAnsi="Times New Roman" w:eastAsia="Times New Roman"/>
          <w:b w:val="0"/>
          <w:color w:val="000000"/>
          <w:sz w:val="20"/>
        </w:rPr>
        <w:t xml:space="preserve"> temporary dose reduction, discontinuation, and changes in symptomatic therapy use a treatment-policy strategy; participants remain under observation after discontinuation;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death or disease-related inability to complete SARA:</w:t>
      </w:r>
      <w:r>
        <w:rPr>
          <w:rFonts w:ascii="Times New Roman" w:hAnsi="Times New Roman" w:eastAsia="Times New Roman"/>
          <w:b w:val="0"/>
          <w:color w:val="000000"/>
          <w:sz w:val="20"/>
        </w:rPr>
        <w:t xml:space="preserve"> death terminates the while-alive SARA variable; inability to walk is scored as an observed SARA state rather than missing, while other disease-related nonassessment is handled with remote/video assessment where feasible and prespecified sensitivity analyses;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color w:val="000000"/>
          <w:sz w:val="20"/>
        </w:rPr>
        <w:t>summary:</w:t>
      </w:r>
      <w:r>
        <w:rPr>
          <w:rFonts w:ascii="Times New Roman" w:hAnsi="Times New Roman" w:eastAsia="Times New Roman"/>
          <w:b w:val="0"/>
          <w:color w:val="000000"/>
          <w:sz w:val="20"/>
        </w:rPr>
        <w:t xml:space="preserve"> adjusted active-versus-placebo difference in mean late-treatment change, standardized with fixed one-third weights for the SARA 3-4, 5-9, and 10-12 bands, among participants alive at the relevant assessment.</w:t>
      </w:r>
    </w:p>
    <w:p>
      <w:pPr>
        <w:keepLines w:val="0"/>
        <w:jc w:val="both"/>
      </w:pPr>
      <w:r>
        <w:rPr>
          <w:rFonts w:ascii="Times New Roman" w:hAnsi="Times New Roman" w:eastAsia="Times New Roman"/>
          <w:b w:val="0"/>
          <w:color w:val="000000"/>
          <w:sz w:val="20"/>
        </w:rPr>
        <w:t>The withdrawal effect is the separate exploratory estimand defined above and is not substituted for the primary late-treatment estimand.</w:t>
      </w:r>
    </w:p>
    <w:p>
      <w:pPr>
        <w:pStyle w:val="Heading3"/>
      </w:pPr>
      <w:r>
        <w:rPr>
          <w:rFonts w:ascii="Times New Roman" w:hAnsi="Times New Roman" w:eastAsia="Times New Roman"/>
          <w:b/>
          <w:color w:val="000000"/>
          <w:sz w:val="20"/>
        </w:rPr>
        <w:t>Statistical analysis</w:t>
      </w:r>
    </w:p>
    <w:p>
      <w:pPr>
        <w:keepLines w:val="0"/>
        <w:jc w:val="both"/>
      </w:pPr>
      <w:r>
        <w:rPr>
          <w:rFonts w:ascii="Times New Roman" w:hAnsi="Times New Roman" w:eastAsia="Times New Roman"/>
          <w:b w:val="0"/>
          <w:color w:val="000000"/>
          <w:sz w:val="20"/>
        </w:rPr>
        <w:t>The primary analysis uses a repeated-measures mixed model with visit, treatment-by-visit, baseline SARA, SARA band, treatment-by-visit-by-SARA-band, CAG band, disease duration, sex, site region, and body-weight stratum. A participant random intercept is included; covariance structure and small-sample degrees-of-freedom method are locked in the SAP. Within each baseline SARA band, the late-treatment contrast is the equally weighted average of the adjusted week-68 and week-72 treatment differences. The primary marginal contrast then averages those three band-specific contrasts with fixed weights of one third each, with a two-sided 95% confidence interval and alpha 0.05. Treatment-by-band heterogeneity is reported with simultaneous intervals and a supportive global interaction test; realized band counts do not redefine the primary weights.</w:t>
      </w:r>
    </w:p>
    <w:p>
      <w:pPr>
        <w:keepLines w:val="0"/>
        <w:jc w:val="both"/>
      </w:pPr>
      <w:r>
        <w:rPr>
          <w:rFonts w:ascii="Times New Roman" w:hAnsi="Times New Roman" w:eastAsia="Times New Roman"/>
          <w:b w:val="0"/>
          <w:color w:val="000000"/>
          <w:sz w:val="20"/>
        </w:rPr>
        <w:t>Sensitivity analyses include reference-based multiple imputation, jump-to-reference after active-treatment discontinuation, tipping-point analysis, pattern-mixture models, per-protocol analysis, and models excluding assessments obtained during major intercurrent illness. A prespecified hierarchical composite sensitivity ranks death first, non-death disease-related inability to assess second, and observed SARA change third. A material direction reversal or excess mortality prevents an unqualified efficacy interpretation. A supportive analysis may use compatible natural-history data, but the confirmatory result is the concurrent randomized comparison without borrowing.</w:t>
      </w:r>
    </w:p>
    <w:p>
      <w:pPr>
        <w:pStyle w:val="Heading3"/>
      </w:pPr>
      <w:r>
        <w:rPr>
          <w:rFonts w:ascii="Times New Roman" w:hAnsi="Times New Roman" w:eastAsia="Times New Roman"/>
          <w:b/>
          <w:color w:val="000000"/>
          <w:sz w:val="20"/>
        </w:rPr>
        <w:t>Sample-size sensitivity</w:t>
      </w:r>
    </w:p>
    <w:p>
      <w:pPr>
        <w:keepLines w:val="0"/>
        <w:jc w:val="both"/>
      </w:pPr>
      <w:r>
        <w:rPr>
          <w:rFonts w:ascii="Times New Roman" w:hAnsi="Times New Roman" w:eastAsia="Times New Roman"/>
          <w:b w:val="0"/>
          <w:color w:val="000000"/>
          <w:sz w:val="20"/>
        </w:rPr>
        <w:t>Using a common change-score SD of approximately 2.5, 80% power, two-sided alpha 0.05, equal allocation, and 15% attrition gives the following planning scenarios:</w:t>
      </w:r>
    </w:p>
    <w:tbl>
      <w:tblPr>
        <w:tblStyle w:val="TableGrid"/>
        <w:tblW w:type="dxa" w:w="9360"/>
        <w:tblLayout w:type="fixed"/>
        <w:tblLook w:firstColumn="1" w:firstRow="1" w:lastColumn="0" w:lastRow="0" w:noHBand="0" w:noVBand="1" w:val="04A0"/>
        <w:tblInd w:w="120" w:type="dxa"/>
      </w:tblPr>
      <w:tblGrid>
        <w:gridCol w:w="4032"/>
        <w:gridCol w:w="1771"/>
        <w:gridCol w:w="1771"/>
        <w:gridCol w:w="1786"/>
      </w:tblGrid>
      <w:tr>
        <w:trPr>
          <w:tblHeader w:val="true"/>
          <w:cantSplit w:val="true"/>
        </w:trPr>
        <w:tc>
          <w:tcPr>
            <w:tcW w:type="dxa" w:w="4032"/>
            <w:tcMar>
              <w:top w:w="80" w:type="dxa"/>
              <w:start w:w="120" w:type="dxa"/>
              <w:bottom w:w="80" w:type="dxa"/>
              <w:end w:w="120" w:type="dxa"/>
            </w:tcMar>
            <w:vAlign w:val="center"/>
            <w:shd w:fill="EDEDED"/>
          </w:tcPr>
          <w:p>
            <w:pPr>
              <w:spacing w:before="0" w:after="0" w:line="252" w:lineRule="auto"/>
            </w:pPr>
            <w:r>
              <w:rPr>
                <w:rFonts w:ascii="Times New Roman" w:hAnsi="Times New Roman" w:eastAsia="Times New Roman"/>
                <w:b/>
                <w:color w:val="000000"/>
                <w:sz w:val="17"/>
              </w:rPr>
              <w:t>Assumed late-treatment difference</w:t>
            </w:r>
          </w:p>
        </w:tc>
        <w:tc>
          <w:tcPr>
            <w:tcW w:type="dxa" w:w="1771"/>
            <w:tcMar>
              <w:top w:w="80" w:type="dxa"/>
              <w:start w:w="120" w:type="dxa"/>
              <w:bottom w:w="80" w:type="dxa"/>
              <w:end w:w="120" w:type="dxa"/>
            </w:tcMar>
            <w:vAlign w:val="center"/>
            <w:shd w:fill="EDEDED"/>
          </w:tcPr>
          <w:p>
            <w:pPr>
              <w:spacing w:before="0" w:after="0" w:line="252" w:lineRule="auto"/>
            </w:pPr>
            <w:r>
              <w:rPr>
                <w:rFonts w:ascii="Times New Roman" w:hAnsi="Times New Roman" w:eastAsia="Times New Roman"/>
                <w:b/>
                <w:color w:val="000000"/>
                <w:sz w:val="17"/>
              </w:rPr>
              <w:t>Approximate evaluable per group</w:t>
            </w:r>
          </w:p>
        </w:tc>
        <w:tc>
          <w:tcPr>
            <w:tcW w:type="dxa" w:w="1771"/>
            <w:tcMar>
              <w:top w:w="80" w:type="dxa"/>
              <w:start w:w="120" w:type="dxa"/>
              <w:bottom w:w="80" w:type="dxa"/>
              <w:end w:w="120" w:type="dxa"/>
            </w:tcMar>
            <w:vAlign w:val="center"/>
            <w:shd w:fill="EDEDED"/>
          </w:tcPr>
          <w:p>
            <w:pPr>
              <w:spacing w:before="0" w:after="0" w:line="252" w:lineRule="auto"/>
            </w:pPr>
            <w:r>
              <w:rPr>
                <w:rFonts w:ascii="Times New Roman" w:hAnsi="Times New Roman" w:eastAsia="Times New Roman"/>
                <w:b/>
                <w:color w:val="000000"/>
                <w:sz w:val="17"/>
              </w:rPr>
              <w:t>Approximate randomized per group</w:t>
            </w:r>
          </w:p>
        </w:tc>
        <w:tc>
          <w:tcPr>
            <w:tcW w:type="dxa" w:w="1786"/>
            <w:tcMar>
              <w:top w:w="80" w:type="dxa"/>
              <w:start w:w="120" w:type="dxa"/>
              <w:bottom w:w="80" w:type="dxa"/>
              <w:end w:w="120" w:type="dxa"/>
            </w:tcMar>
            <w:vAlign w:val="center"/>
            <w:shd w:fill="EDEDED"/>
          </w:tcPr>
          <w:p>
            <w:pPr>
              <w:spacing w:before="0" w:after="0" w:line="252" w:lineRule="auto"/>
            </w:pPr>
            <w:r>
              <w:rPr>
                <w:rFonts w:ascii="Times New Roman" w:hAnsi="Times New Roman" w:eastAsia="Times New Roman"/>
                <w:b/>
                <w:color w:val="000000"/>
                <w:sz w:val="17"/>
              </w:rPr>
              <w:t>Approximate total</w:t>
            </w:r>
          </w:p>
        </w:tc>
      </w:tr>
      <w:tr>
        <w:trPr>
          <w:cantSplit w:val="true"/>
        </w:trPr>
        <w:tc>
          <w:tcPr>
            <w:tcW w:type="dxa" w:w="4032"/>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1.52 points</w:t>
            </w:r>
          </w:p>
        </w:tc>
        <w:tc>
          <w:tcPr>
            <w:tcW w:type="dxa" w:w="1771"/>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44</w:t>
            </w:r>
          </w:p>
        </w:tc>
        <w:tc>
          <w:tcPr>
            <w:tcW w:type="dxa" w:w="1771"/>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52</w:t>
            </w:r>
          </w:p>
        </w:tc>
        <w:tc>
          <w:tcPr>
            <w:tcW w:type="dxa" w:w="1786"/>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104</w:t>
            </w:r>
          </w:p>
        </w:tc>
      </w:tr>
      <w:tr>
        <w:trPr>
          <w:cantSplit w:val="true"/>
        </w:trPr>
        <w:tc>
          <w:tcPr>
            <w:tcW w:type="dxa" w:w="4032"/>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1.00 point</w:t>
            </w:r>
          </w:p>
        </w:tc>
        <w:tc>
          <w:tcPr>
            <w:tcW w:type="dxa" w:w="1771"/>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100</w:t>
            </w:r>
          </w:p>
        </w:tc>
        <w:tc>
          <w:tcPr>
            <w:tcW w:type="dxa" w:w="1771"/>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118</w:t>
            </w:r>
          </w:p>
        </w:tc>
        <w:tc>
          <w:tcPr>
            <w:tcW w:type="dxa" w:w="1786"/>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236</w:t>
            </w:r>
          </w:p>
        </w:tc>
      </w:tr>
      <w:tr>
        <w:trPr>
          <w:cantSplit w:val="true"/>
        </w:trPr>
        <w:tc>
          <w:tcPr>
            <w:tcW w:type="dxa" w:w="4032"/>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0.75 point</w:t>
            </w:r>
          </w:p>
        </w:tc>
        <w:tc>
          <w:tcPr>
            <w:tcW w:type="dxa" w:w="1771"/>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176</w:t>
            </w:r>
          </w:p>
        </w:tc>
        <w:tc>
          <w:tcPr>
            <w:tcW w:type="dxa" w:w="1771"/>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208</w:t>
            </w:r>
          </w:p>
        </w:tc>
        <w:tc>
          <w:tcPr>
            <w:tcW w:type="dxa" w:w="1786"/>
            <w:tcMar>
              <w:top w:w="80" w:type="dxa"/>
              <w:start w:w="120" w:type="dxa"/>
              <w:bottom w:w="80" w:type="dxa"/>
              <w:end w:w="120" w:type="dxa"/>
            </w:tcMar>
            <w:vAlign w:val="center"/>
          </w:tcPr>
          <w:p>
            <w:pPr>
              <w:spacing w:before="0" w:after="0" w:line="252" w:lineRule="auto"/>
            </w:pPr>
            <w:r>
              <w:rPr>
                <w:rFonts w:ascii="Times New Roman" w:hAnsi="Times New Roman" w:eastAsia="Times New Roman"/>
                <w:b w:val="0"/>
                <w:color w:val="000000"/>
                <w:sz w:val="17"/>
              </w:rPr>
              <w:t>416</w:t>
            </w:r>
          </w:p>
        </w:tc>
      </w:tr>
    </w:tbl>
    <w:p>
      <w:pPr>
        <w:spacing w:after="40"/>
      </w:pPr>
    </w:p>
    <w:p>
      <w:pPr>
        <w:keepLines w:val="0"/>
        <w:jc w:val="both"/>
      </w:pPr>
      <w:r>
        <w:rPr>
          <w:rFonts w:ascii="Times New Roman" w:hAnsi="Times New Roman" w:eastAsia="Times New Roman"/>
          <w:b w:val="0"/>
          <w:color w:val="000000"/>
          <w:sz w:val="20"/>
        </w:rPr>
        <w:t>The planned 240 participants round the 1.00-point scenario to 120 per group. This choice is deliberately more conservative than sizing directly from the unstable 40-person pilot estimate. The table is a simple change-score approximation; final simulation must use the prespecified average of weeks 68 and 72, its repeated-measures covariance, exactly 80 participants per baseline SARA band, fixed one-third standardization weights, band-specific floor and dropout behaviour, and plausible treatment-by-band heterogeneity.</w:t>
      </w:r>
    </w:p>
    <w:p>
      <w:pPr>
        <w:keepLines w:val="0"/>
        <w:jc w:val="both"/>
      </w:pPr>
      <w:r>
        <w:rPr>
          <w:rFonts w:ascii="Times New Roman" w:hAnsi="Times New Roman" w:eastAsia="Times New Roman"/>
          <w:b w:val="0"/>
          <w:color w:val="000000"/>
          <w:sz w:val="20"/>
        </w:rPr>
        <w:t>The accompanying reproducible fixed-seed planning simulation implements that structure with 10,000 bivariate replicates: 80 randomized participants per band; active-versus-placebo benefits of 0.60/1.00/1.40 points; week-68/week-72 correlations of 0.70/0.75/0.80; change SDs of 2.50/2.80/3.00; approximately 20.2%/15.1%/10.0% dropout by week 72; and observed SARA bounded at 0-40. The fixed one-third-weighted input effect is one point. The simulation estimates 79.96% directional two-sided power (Monte Carlo SE 0.40 percentage point), and a separate null run gives a 5.21% two-sided rejection rate. Floor attenuation yields a mean observed treatment contrast of approximately 0.984 point. This demonstrates internal feasibility only; it is not an empirical power guarantee. Before trial registration, participant-level pilot covariance must replace these illustrative inputs and sensitivity simulations must include weaker low-band effects, informative or treatment-dependent dropout, site effects, and alternative covariance structures.</w:t>
      </w:r>
    </w:p>
    <w:p>
      <w:pPr>
        <w:keepLines w:val="0"/>
        <w:jc w:val="both"/>
      </w:pPr>
      <w:r>
        <w:rPr>
          <w:rFonts w:ascii="Times New Roman" w:hAnsi="Times New Roman" w:eastAsia="Times New Roman"/>
          <w:b w:val="0"/>
          <w:color w:val="000000"/>
          <w:sz w:val="20"/>
        </w:rPr>
        <w:t>If the aim were only to detect a 50% slowing of the published mean SCA6 progression of approximately 0.80 SARA point per year, the expected 72-week separation would be approximately 0.60 point. With SD 2.5 and no efficiency gain from repeated measures, approximately 274 evaluable participants per group, 323 randomized per group, or 646 total would be required. Thus Module B is sized around a prespecified one-point signal; it is not a definitive progression-slowing trial unless pilot covariance demonstrates materially higher efficiency.</w:t>
      </w:r>
    </w:p>
    <w:p>
      <w:pPr>
        <w:pStyle w:val="Heading3"/>
      </w:pPr>
      <w:r>
        <w:rPr>
          <w:rFonts w:ascii="Times New Roman" w:hAnsi="Times New Roman" w:eastAsia="Times New Roman"/>
          <w:b/>
          <w:color w:val="000000"/>
          <w:sz w:val="20"/>
        </w:rPr>
        <w:t>Interim decisions and multiplicity</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routine DSMB safety reviews occur after the first 10, 20, and 40 active recipients complete week 12 and then at least every 6 months;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the Stage 1 expansion gate occurs after the first 40 randomized participants with SARA 10-12 reach the week-12 assessment window or discontinue earlier with disposition known; only passage of every locked safety and blinded-feasibility threshold above permits SARA 5-9 to open;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the separate Stage 2 expansion gate occurs after the 40 randomized participants in the SARA 5-9 sentinel cohort reach the week-12 assessment window or discontinue earlier with disposition known; only passage of every locked threshold permits SARA 3-4 to open;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one blinded variance re-estimation occurs at 50% information;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one non-binding futility analysis occurs at approximately 50% information, with stopping considered when conditional power is below 10%;</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no early efficacy stop is planned because the pilot effect is imprecise and likely vulnerable to regression to the mean;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the single primary endpoint uses two-sided alpha 0.05. Key-secondary endpoints use fixed-sequence gatekeeping; all others are exploratory.</w:t>
      </w:r>
    </w:p>
    <w:p>
      <w:pPr>
        <w:pStyle w:val="Heading3"/>
      </w:pPr>
      <w:r>
        <w:rPr>
          <w:rFonts w:ascii="Times New Roman" w:hAnsi="Times New Roman" w:eastAsia="Times New Roman"/>
          <w:b/>
          <w:color w:val="000000"/>
          <w:sz w:val="20"/>
        </w:rPr>
        <w:t>Safety monitoring and stopping</w:t>
      </w:r>
    </w:p>
    <w:p>
      <w:pPr>
        <w:keepLines w:val="0"/>
        <w:jc w:val="both"/>
      </w:pPr>
      <w:r>
        <w:rPr>
          <w:rFonts w:ascii="Times New Roman" w:hAnsi="Times New Roman" w:eastAsia="Times New Roman"/>
          <w:b w:val="0"/>
          <w:color w:val="000000"/>
          <w:sz w:val="20"/>
        </w:rPr>
        <w:t>Safety assessments include adverse events, swallowing and aspiration screening, pneumonia surveillance, vital signs, weight, CBC, AST, ALT, alkaline phosphatase, bilirubin, creatinine/eGFR, sodium, potassium, bicarbonate, glucose, urinalysis, and plasma amino acids. Participants receive clear instructions for diarrhoea, dehydration, infection, dyspnoea, jaundice, weakness, and confusion.</w:t>
      </w:r>
    </w:p>
    <w:p>
      <w:pPr>
        <w:keepLines w:val="0"/>
        <w:jc w:val="both"/>
      </w:pPr>
      <w:r>
        <w:rPr>
          <w:rFonts w:ascii="Times New Roman" w:hAnsi="Times New Roman" w:eastAsia="Times New Roman"/>
          <w:b w:val="0"/>
          <w:color w:val="000000"/>
          <w:sz w:val="20"/>
        </w:rPr>
        <w:t>Dosing is held for protocol-defined severe gastrointestinal intolerance or dehydration, persistent potassium above 5.5 mmol/L, clinically important acidosis, eGFR decline greater than 30%, or clinically important hepatic-test elevation. Permanent discontinuation is required for a Hy's-law pattern, related serious adverse reaction when rechallenge is unsafe, pregnancy, or recurrent severe metabolic toxicity.</w:t>
      </w:r>
    </w:p>
    <w:p>
      <w:pPr>
        <w:keepLines w:val="0"/>
        <w:jc w:val="both"/>
      </w:pPr>
      <w:r>
        <w:rPr>
          <w:rFonts w:ascii="Times New Roman" w:hAnsi="Times New Roman" w:eastAsia="Times New Roman"/>
          <w:b w:val="0"/>
          <w:color w:val="000000"/>
          <w:sz w:val="20"/>
        </w:rPr>
        <w:t>Any treatment-related death pauses the entire module. Two similar treatment-related grade 3 or higher hepatic, metabolic, aspiration, or neurological events also trigger a programme pause and unblinded DSMB review. Restart requires documented DSMB and regulatory concurrence.</w:t>
      </w:r>
    </w:p>
    <w:p>
      <w:pPr>
        <w:pStyle w:val="Heading3"/>
      </w:pPr>
      <w:r>
        <w:rPr>
          <w:rFonts w:ascii="Times New Roman" w:hAnsi="Times New Roman" w:eastAsia="Times New Roman"/>
          <w:b/>
          <w:color w:val="000000"/>
          <w:sz w:val="20"/>
        </w:rPr>
        <w:t>Standard-of-care contingency</w:t>
      </w:r>
    </w:p>
    <w:p>
      <w:pPr>
        <w:keepLines w:val="0"/>
        <w:jc w:val="both"/>
      </w:pPr>
      <w:r>
        <w:rPr>
          <w:rFonts w:ascii="Times New Roman" w:hAnsi="Times New Roman" w:eastAsia="Times New Roman"/>
          <w:b w:val="0"/>
          <w:color w:val="000000"/>
          <w:sz w:val="20"/>
        </w:rPr>
        <w:t>If another therapy becomes approved or accepted standard care before Module B starts or while it recruits, the protocol is amended prospectively. Participants must not be denied established care. L-arginine may need to be tested as add-on therapy with the new treatment held stable, or Module B may become scientifically unnecessary.</w:t>
      </w:r>
    </w:p>
    <w:p>
      <w:pPr>
        <w:pStyle w:val="Heading2"/>
      </w:pPr>
      <w:r>
        <w:rPr>
          <w:rFonts w:ascii="Times New Roman" w:hAnsi="Times New Roman" w:eastAsia="Times New Roman"/>
          <w:b/>
          <w:color w:val="000000"/>
          <w:sz w:val="22"/>
        </w:rPr>
        <w:t>Module C: circuit-targeted Phase 0 activation gates</w:t>
      </w:r>
    </w:p>
    <w:p>
      <w:pPr>
        <w:keepLines w:val="0"/>
        <w:jc w:val="both"/>
      </w:pPr>
      <w:r>
        <w:rPr>
          <w:rFonts w:ascii="Times New Roman" w:hAnsi="Times New Roman" w:eastAsia="Times New Roman"/>
          <w:b w:val="0"/>
          <w:color w:val="000000"/>
          <w:sz w:val="20"/>
        </w:rPr>
        <w:t>No circuit intervention is selected in this document. The existence of early circuit hyperactivity in an animal model does not establish a directionally interpretable, modifiable human phenotype in SCA3 or SCA6. A sham-controlled Phase 0 study may activate only after all four gates below are passed prospectively.</w:t>
      </w:r>
    </w:p>
    <w:p>
      <w:pPr>
        <w:pStyle w:val="Heading3"/>
      </w:pPr>
      <w:r>
        <w:rPr>
          <w:rFonts w:ascii="Times New Roman" w:hAnsi="Times New Roman" w:eastAsia="Times New Roman"/>
          <w:b/>
          <w:color w:val="000000"/>
          <w:sz w:val="20"/>
        </w:rPr>
        <w:t>Gate 1: reproducible human phenotype</w:t>
      </w:r>
    </w:p>
    <w:p>
      <w:pPr>
        <w:keepLines w:val="0"/>
        <w:jc w:val="both"/>
      </w:pPr>
      <w:r>
        <w:rPr>
          <w:rFonts w:ascii="Times New Roman" w:hAnsi="Times New Roman" w:eastAsia="Times New Roman"/>
          <w:b w:val="0"/>
          <w:color w:val="000000"/>
          <w:sz w:val="20"/>
        </w:rPr>
        <w:t>A locked electrophysiological or network-hyperactivity measure must: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have a prespecified acquisition and analysis pipeline;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show test-retest intraclass correlation at least 0.75;</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distinguish the intended hyperactive subgroup from controls with externally validated thresholds;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retain the same direction after adjustment for medication, sleep, fatigue, site, and disease severity.</w:t>
      </w:r>
    </w:p>
    <w:p>
      <w:pPr>
        <w:pStyle w:val="Heading3"/>
      </w:pPr>
      <w:r>
        <w:rPr>
          <w:rFonts w:ascii="Times New Roman" w:hAnsi="Times New Roman" w:eastAsia="Times New Roman"/>
          <w:b/>
          <w:color w:val="000000"/>
          <w:sz w:val="20"/>
        </w:rPr>
        <w:t>Gate 2: temporal and prognostic validity</w:t>
      </w:r>
    </w:p>
    <w:p>
      <w:pPr>
        <w:keepLines w:val="0"/>
        <w:jc w:val="both"/>
      </w:pPr>
      <w:r>
        <w:rPr>
          <w:rFonts w:ascii="Times New Roman" w:hAnsi="Times New Roman" w:eastAsia="Times New Roman"/>
          <w:b w:val="0"/>
          <w:color w:val="000000"/>
          <w:sz w:val="20"/>
        </w:rPr>
        <w:t>The abnormality must precede, not merely accompany, worsening. In the prospective cohort it must predict subsequent clinical, imaging, or neurochemical decline after baseline severity and genotype are controlled, and the direction must replicate in an independent cohort.</w:t>
      </w:r>
    </w:p>
    <w:p>
      <w:pPr>
        <w:pStyle w:val="Heading3"/>
      </w:pPr>
      <w:r>
        <w:rPr>
          <w:rFonts w:ascii="Times New Roman" w:hAnsi="Times New Roman" w:eastAsia="Times New Roman"/>
          <w:b/>
          <w:color w:val="000000"/>
          <w:sz w:val="20"/>
        </w:rPr>
        <w:t>Gate 3: directionally selective, human-safe modulation</w:t>
      </w:r>
    </w:p>
    <w:p>
      <w:pPr>
        <w:keepLines w:val="0"/>
        <w:jc w:val="both"/>
      </w:pPr>
      <w:r>
        <w:rPr>
          <w:rFonts w:ascii="Times New Roman" w:hAnsi="Times New Roman" w:eastAsia="Times New Roman"/>
          <w:b w:val="0"/>
          <w:color w:val="000000"/>
          <w:sz w:val="20"/>
        </w:rPr>
        <w:t>A human-safe intervention must be shown to move the locked phenotype toward the healthy range without worsening gait, balance, cognition, speech, or another relevant cerebellar function. A protocol that uniformly suppresses activity irrespective of baseline state fails this gate. Dose, stimulation parameters, contraindications, and stopping rules must be supported by prior human safety data.</w:t>
      </w:r>
    </w:p>
    <w:p>
      <w:pPr>
        <w:pStyle w:val="Heading3"/>
      </w:pPr>
      <w:r>
        <w:rPr>
          <w:rFonts w:ascii="Times New Roman" w:hAnsi="Times New Roman" w:eastAsia="Times New Roman"/>
          <w:b/>
          <w:color w:val="000000"/>
          <w:sz w:val="20"/>
        </w:rPr>
        <w:t>Gate 4: washout reversibility without persistent harm</w:t>
      </w:r>
    </w:p>
    <w:p>
      <w:pPr>
        <w:keepLines w:val="0"/>
        <w:jc w:val="both"/>
      </w:pPr>
      <w:r>
        <w:rPr>
          <w:rFonts w:ascii="Times New Roman" w:hAnsi="Times New Roman" w:eastAsia="Times New Roman"/>
          <w:b w:val="0"/>
          <w:color w:val="000000"/>
          <w:sz w:val="20"/>
        </w:rPr>
        <w:t>After a prespecified 2-4-week washout, the target-engagement signal must move toward baseline and no persistent neurological loss may remain. This gate distinguishes a controllable functional intervention from structural injury. Failure to reverse or emergence of persistent impairment terminates development of that modulation strategy.</w:t>
      </w:r>
    </w:p>
    <w:p>
      <w:pPr>
        <w:pStyle w:val="Heading3"/>
      </w:pPr>
      <w:r>
        <w:rPr>
          <w:rFonts w:ascii="Times New Roman" w:hAnsi="Times New Roman" w:eastAsia="Times New Roman"/>
          <w:b/>
          <w:color w:val="000000"/>
          <w:sz w:val="20"/>
        </w:rPr>
        <w:t>Conditional Phase 0 design after all gates pass</w:t>
      </w:r>
    </w:p>
    <w:p>
      <w:pPr>
        <w:keepLines w:val="0"/>
        <w:jc w:val="both"/>
      </w:pPr>
      <w:r>
        <w:rPr>
          <w:rFonts w:ascii="Times New Roman" w:hAnsi="Times New Roman" w:eastAsia="Times New Roman"/>
          <w:b w:val="0"/>
          <w:color w:val="000000"/>
          <w:sz w:val="20"/>
        </w:rPr>
        <w:t>The activated study would be genotype-specific, randomized, double-blind, sham-controlled, and crossover, enrolling approximately 24-36 phenotype-positive participants per genotype. The primary endpoint would be change in the locked target-engagement measure, not SARA or neuroprotection. A later 48-week study would require new variance estimates and a separate progression endpoint. SCA3 and SCA6 estimates would remain separate unless a prespecified treatment-by-genotype compatibility criterion were met.</w:t>
      </w:r>
    </w:p>
    <w:p>
      <w:pPr>
        <w:pStyle w:val="Heading2"/>
      </w:pPr>
      <w:r>
        <w:rPr>
          <w:rFonts w:ascii="Times New Roman" w:hAnsi="Times New Roman" w:eastAsia="Times New Roman"/>
          <w:b/>
          <w:color w:val="000000"/>
          <w:sz w:val="22"/>
        </w:rPr>
        <w:t>Cross-module reporting and failure criteria</w:t>
      </w:r>
    </w:p>
    <w:p>
      <w:pPr>
        <w:keepLines w:val="0"/>
        <w:jc w:val="both"/>
      </w:pPr>
      <w:r>
        <w:rPr>
          <w:rFonts w:ascii="Times New Roman" w:hAnsi="Times New Roman" w:eastAsia="Times New Roman"/>
          <w:b w:val="0"/>
          <w:color w:val="000000"/>
          <w:sz w:val="20"/>
        </w:rPr>
        <w:t>The following outcomes are informative failures rather than reasons to redefine endpoints after unblinding:</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SCA3 target engagement without slower pons loss;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SCA3 pons change without convincing mutant-ATXN3 target engagement;</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a safety signal that prevents ethically proportionate preataxic exposure;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SCA6 failure to reproduce a one-point SARA effect despite adequate exposure and retention;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SCA6 benefit that disappears immediately during withdrawal, which supports symptomatic activity but not disease modification;</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lack of an externally reproducible human hyperactivity phenotype for Module C;</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benefit restricted to an unplanned subgroup without a corrected interaction test.</w:t>
      </w:r>
    </w:p>
    <w:p>
      <w:pPr>
        <w:keepLines w:val="0"/>
        <w:jc w:val="both"/>
      </w:pPr>
      <w:r>
        <w:rPr>
          <w:rFonts w:ascii="Times New Roman" w:hAnsi="Times New Roman" w:eastAsia="Times New Roman"/>
          <w:b w:val="0"/>
          <w:color w:val="000000"/>
          <w:sz w:val="20"/>
        </w:rPr>
        <w:t>All results are reported with effect estimates and confidence intervals regardless of statistical significance. Negative and terminated studies remain part of the evidence record. Module-specific conclusions must not be generalized to an unmeasured external input or to hereditary cerebellar degeneration as a single disease.</w:t>
      </w:r>
    </w:p>
    <w:p>
      <w:pPr>
        <w:pStyle w:val="Heading2"/>
      </w:pPr>
      <w:r>
        <w:rPr>
          <w:rFonts w:ascii="Times New Roman" w:hAnsi="Times New Roman" w:eastAsia="Times New Roman"/>
          <w:b/>
          <w:color w:val="000000"/>
          <w:sz w:val="22"/>
        </w:rPr>
        <w:t>Evidence sources</w:t>
      </w:r>
    </w:p>
    <w:p>
      <w:pPr>
        <w:pStyle w:val="Heading3"/>
      </w:pPr>
      <w:r>
        <w:rPr>
          <w:rFonts w:ascii="Times New Roman" w:hAnsi="Times New Roman" w:eastAsia="Times New Roman"/>
          <w:b/>
          <w:color w:val="000000"/>
          <w:sz w:val="20"/>
        </w:rPr>
        <w:t>SCA3 natural history, staging, and trial landscape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Faber et al. Stage-dependent biomarkers in SCA3, including the research NfL z-score staging rule: PubMed 37962377, DOI 10.1002/ana.26824.</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Berger et al. Longitudinal ESMI biomarker progression, including pons-volume responsiveness: PMC12270660.</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Chandrasekaran et al. Multisite MR endpoints in preataxic SCA1 and SCA3: PMC10261544.</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Current VO659 Phase 1/2a registry: NCT05822908.</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Sponsor-reported 2026 twice-yearly VO659 expansion; not peer-reviewed SCA3 efficacy evidence: Vico Therapeutics press release.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Terminated BIIB132 SCA3 study: NCT05160558.</w:t>
      </w:r>
    </w:p>
    <w:p>
      <w:pPr>
        <w:pStyle w:val="Heading3"/>
      </w:pPr>
      <w:r>
        <w:rPr>
          <w:rFonts w:ascii="Times New Roman" w:hAnsi="Times New Roman" w:eastAsia="Times New Roman"/>
          <w:b/>
          <w:color w:val="000000"/>
          <w:sz w:val="20"/>
        </w:rPr>
        <w:t>SCA6 natural history, biomarkers, and trials</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Jacobi et al. Long-term EUROSCA progression: PubMed 26377379.</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Sato et al. Three-year prospective Japanese SCA6 cohort: PMC4223818.</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Joers et al. Cross-sectional 7-T MRS in premanifest and early SCA1, SCA2, SCA3, and SCA6: PMC5912959.</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Ishihara et al. Completed SCA6 L-arginine Phase 2 trial: PMC11701440.</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Current N-acetyl-L-leucine CACNA1A Phase III registry: NCT07221292.</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Current small SCA6 adaptive-DBS feasibility studies: NCT07325487 and NCT07288437.</w:t>
      </w:r>
    </w:p>
    <w:p>
      <w:pPr>
        <w:pStyle w:val="Heading3"/>
      </w:pPr>
      <w:r>
        <w:rPr>
          <w:rFonts w:ascii="Times New Roman" w:hAnsi="Times New Roman" w:eastAsia="Times New Roman"/>
          <w:b/>
          <w:color w:val="000000"/>
          <w:sz w:val="20"/>
        </w:rPr>
        <w:t>Regulatory and statistical framework</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 xml:space="preserve">FDA, </w:t>
      </w:r>
      <w:r>
        <w:rPr>
          <w:rFonts w:ascii="Times New Roman" w:hAnsi="Times New Roman" w:eastAsia="Times New Roman"/>
          <w:b w:val="0"/>
          <w:i/>
          <w:color w:val="000000"/>
          <w:sz w:val="20"/>
        </w:rPr>
        <w:t>Rare Diseases: Considerations for the Development of Drugs and Biological Products</w:t>
      </w:r>
      <w:r>
        <w:rPr>
          <w:rFonts w:ascii="Times New Roman" w:hAnsi="Times New Roman" w:eastAsia="Times New Roman"/>
          <w:b w:val="0"/>
          <w:color w:val="000000"/>
          <w:sz w:val="20"/>
        </w:rPr>
        <w:t xml:space="preserve"> (final guidance, 2023): guidance page.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 xml:space="preserve">FDA/ICH E9(R1), </w:t>
      </w:r>
      <w:r>
        <w:rPr>
          <w:rFonts w:ascii="Times New Roman" w:hAnsi="Times New Roman" w:eastAsia="Times New Roman"/>
          <w:b w:val="0"/>
          <w:i/>
          <w:color w:val="000000"/>
          <w:sz w:val="20"/>
        </w:rPr>
        <w:t>Estimands and Sensitivity Analysis in Clinical Trials</w:t>
      </w:r>
      <w:r>
        <w:rPr>
          <w:rFonts w:ascii="Times New Roman" w:hAnsi="Times New Roman" w:eastAsia="Times New Roman"/>
          <w:b w:val="0"/>
          <w:color w:val="000000"/>
          <w:sz w:val="20"/>
        </w:rPr>
        <w:t>: guidance page.</w:t>
      </w:r>
    </w:p>
    <w:p>
      <w:pPr>
        <w:spacing w:after="60" w:line="276" w:lineRule="auto"/>
        <w:ind w:left="360" w:hanging="259"/>
      </w:pPr>
      <w:r>
        <w:rPr>
          <w:rFonts w:ascii="Times New Roman" w:hAnsi="Times New Roman" w:eastAsia="Times New Roman"/>
          <w:color w:val="000000"/>
          <w:sz w:val="20"/>
        </w:rPr>
        <w:t xml:space="preserve">• </w:t>
      </w:r>
      <w:r>
        <w:rPr>
          <w:rFonts w:ascii="Times New Roman" w:hAnsi="Times New Roman" w:eastAsia="Times New Roman"/>
          <w:b w:val="0"/>
          <w:color w:val="000000"/>
          <w:sz w:val="20"/>
        </w:rPr>
        <w:t xml:space="preserve">EMA, </w:t>
      </w:r>
      <w:r>
        <w:rPr>
          <w:rFonts w:ascii="Times New Roman" w:hAnsi="Times New Roman" w:eastAsia="Times New Roman"/>
          <w:b w:val="0"/>
          <w:i/>
          <w:color w:val="000000"/>
          <w:sz w:val="20"/>
        </w:rPr>
        <w:t>Guideline on Clinical Trials in Small Populations</w:t>
      </w:r>
      <w:r>
        <w:rPr>
          <w:rFonts w:ascii="Times New Roman" w:hAnsi="Times New Roman" w:eastAsia="Times New Roman"/>
          <w:b w:val="0"/>
          <w:color w:val="000000"/>
          <w:sz w:val="20"/>
        </w:rPr>
        <w:t>: guideline page.</w:t>
      </w:r>
    </w:p>
    <w:p>
      <w:pPr>
        <w:pStyle w:val="Heading2"/>
      </w:pPr>
      <w:r>
        <w:rPr>
          <w:rFonts w:ascii="Times New Roman" w:hAnsi="Times New Roman" w:eastAsia="Times New Roman"/>
          <w:b/>
          <w:color w:val="000000"/>
          <w:sz w:val="22"/>
        </w:rPr>
        <w:t>Interpretation boundary</w:t>
      </w:r>
    </w:p>
    <w:p>
      <w:pPr>
        <w:keepLines w:val="0"/>
        <w:jc w:val="both"/>
      </w:pPr>
      <w:r>
        <w:rPr>
          <w:rFonts w:ascii="Times New Roman" w:hAnsi="Times New Roman" w:eastAsia="Times New Roman"/>
          <w:b w:val="0"/>
          <w:color w:val="000000"/>
          <w:sz w:val="20"/>
        </w:rPr>
        <w:t>These modules evaluate known biological targets and prospectively defined human phenotypes. They do not establish the existence, identity, concentration, or therapeutic value of a hypothetical external maintenance input. Any future intervention directed at a newly identified exposure would require independent identification, toxicology, dose finding, regulatory authorization, and a new protocol.</w:t>
      </w:r>
    </w:p>
    <w:sectPr w:rsidR="00FC693F" w:rsidRPr="0006063C" w:rsidSect="00034616">
      <w:headerReference w:type="default" r:id="rId9"/>
      <w:footerReference w:type="default" r:id="rId10"/>
      <w:pgSz w:w="12240" w:h="15840"/>
      <w:pgMar w:top="1440" w:right="1440" w:bottom="1613" w:left="1440" w:header="706"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eastAsia="Times New Roman"/>
        <w:color w:val="666666"/>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color w:val="666666"/>
        <w:sz w:val="16"/>
      </w:rPr>
      <w:t>Supplementary protocols | Maintenance–reserve–gating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Times New Roman"/>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Times New Roman" w:hAnsi="Times New Roman"/>
      <w:sz w:val="20"/>
    </w:rPr>
  </w:style>
  <w:style w:type="paragraph" w:styleId="ListBullet2">
    <w:name w:val="List Bullet 2"/>
    <w:basedOn w:val="Normal"/>
    <w:uiPriority w:val="99"/>
    <w:unhideWhenUsed/>
    <w:rsid w:val="00326F90"/>
    <w:pPr>
      <w:numPr>
        <w:numId w:val="2"/>
      </w:numPr>
      <w:spacing w:after="60" w:line="276" w:lineRule="auto"/>
      <w:contextualSpacing/>
    </w:pPr>
    <w:rPr>
      <w:rFonts w:ascii="Times New Roman" w:hAnsi="Times New Roman"/>
      <w:sz w:val="20"/>
    </w:rPr>
  </w:style>
  <w:style w:type="paragraph" w:styleId="ListBullet3">
    <w:name w:val="List Bullet 3"/>
    <w:basedOn w:val="Normal"/>
    <w:uiPriority w:val="99"/>
    <w:unhideWhenUsed/>
    <w:rsid w:val="00326F90"/>
    <w:pPr>
      <w:numPr>
        <w:numId w:val="3"/>
      </w:numPr>
      <w:spacing w:after="60" w:line="276" w:lineRule="auto"/>
      <w:contextualSpacing/>
    </w:pPr>
    <w:rPr>
      <w:rFonts w:ascii="Times New Roman" w:hAnsi="Times New Roman"/>
      <w:sz w:val="20"/>
    </w:rPr>
  </w:style>
  <w:style w:type="paragraph" w:styleId="ListNumber">
    <w:name w:val="List Number"/>
    <w:basedOn w:val="Normal"/>
    <w:uiPriority w:val="99"/>
    <w:unhideWhenUsed/>
    <w:rsid w:val="00326F90"/>
    <w:pPr>
      <w:numPr>
        <w:numId w:val="5"/>
      </w:numPr>
      <w:spacing w:after="60" w:line="276" w:lineRule="auto"/>
      <w:contextualSpacing/>
    </w:pPr>
    <w:rPr>
      <w:rFonts w:ascii="Times New Roman" w:hAnsi="Times New Roman"/>
      <w:sz w:val="20"/>
    </w:rPr>
  </w:style>
  <w:style w:type="paragraph" w:styleId="ListNumber2">
    <w:name w:val="List Number 2"/>
    <w:basedOn w:val="Normal"/>
    <w:uiPriority w:val="99"/>
    <w:unhideWhenUsed/>
    <w:rsid w:val="0029639D"/>
    <w:pPr>
      <w:numPr>
        <w:numId w:val="6"/>
      </w:numPr>
      <w:spacing w:after="60" w:line="276" w:lineRule="auto"/>
      <w:contextualSpacing/>
    </w:pPr>
    <w:rPr>
      <w:rFonts w:ascii="Times New Roman" w:hAnsi="Times New Roman"/>
      <w:sz w:val="20"/>
    </w:rPr>
  </w:style>
  <w:style w:type="paragraph" w:styleId="ListNumber3">
    <w:name w:val="List Number 3"/>
    <w:basedOn w:val="Normal"/>
    <w:uiPriority w:val="99"/>
    <w:unhideWhenUsed/>
    <w:rsid w:val="0029639D"/>
    <w:pPr>
      <w:numPr>
        <w:numId w:val="7"/>
      </w:numPr>
      <w:spacing w:after="60" w:line="276" w:lineRule="auto"/>
      <w:contextualSpacing/>
    </w:pPr>
    <w:rPr>
      <w:rFonts w:ascii="Times New Roman" w:hAnsi="Times New Roman"/>
      <w:sz w:val="20"/>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60"/>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protocols - A Maintenance–Reserve–Gating Framework for Modifier Effects in Hereditary Cerebellar Ataxia</dc:title>
  <dc:subject>Research-planning protocols and SAP</dc:subject>
  <dc:creator>Jieyang Chen</dc:creator>
  <cp:keywords>spinocerebellar ataxia; cerebellar reserve; phenoconversion; biomarkers</cp:keywords>
  <dc:description>generated by python-docx</dc:description>
  <cp:lastModifiedBy>Jieyang Chen</cp:lastModifiedBy>
  <cp:revision>1</cp:revision>
  <dcterms:created xsi:type="dcterms:W3CDTF">2026-08-19T00:00:00Z</dcterms:created>
  <dcterms:modified xsi:type="dcterms:W3CDTF">2026-08-19T00:00:00Z</dcterms:modified>
  <cp:category/>
</cp:coreProperties>
</file>