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60"/>
        <w:ind w:left="120"/>
        <w:rPr>
          <w:color w:val="005495"/>
          <w:sz w:val="32"/>
        </w:rPr>
      </w:pPr>
      <w:r>
        <w:rPr>
          <w:color w:val="005495"/>
          <w:sz w:val="32"/>
        </w:rPr>
        <w:t>REASON WHY LETTER</w:t>
      </w:r>
    </w:p>
    <w:p>
      <w:pPr>
        <w:spacing w:before="60"/>
        <w:ind w:left="120"/>
        <w:rPr>
          <w:color w:val="005495"/>
          <w:sz w:val="32"/>
        </w:rPr>
      </w:pPr>
      <w:r>
        <w:rPr>
          <w:color w:val="005495"/>
          <w:sz w:val="32"/>
        </w:rPr>
        <w:t>{{COMPANY}} Segregated Fund Contract — FHSA</w:t>
      </w:r>
    </w:p>
    <w:p>
      <w:pPr>
        <w:pStyle w:val="BodyText"/>
        <w:spacing w:before="11"/>
        <w:rPr>
          <w:rFonts w:eastAsia="Times New Roman"/>
          <w:iCs/>
          <w:color w:val="000000" w:themeColor="text1"/>
          <w:sz w:val="20"/>
          <w:szCs w:val="20"/>
        </w:rPr>
      </w:pPr>
    </w:p>
    <w:p>
      <w:pPr>
        <w:pStyle w:val="BodyText"/>
        <w:spacing w:before="11"/>
        <w:rPr>
          <w:rFonts w:eastAsia="Times New Roman"/>
          <w:iCs/>
          <w:color w:val="000000" w:themeColor="text1"/>
          <w:sz w:val="20"/>
          <w:szCs w:val="20"/>
        </w:rPr>
      </w:pPr>
      <w:r>
        <w:rPr>
          <w:rFonts w:eastAsia="Times New Roman"/>
          <w:iCs/>
          <w:color w:val="000000" w:themeColor="text1"/>
          <w:sz w:val="20"/>
          <w:szCs w:val="20"/>
        </w:rPr>
        <w:t>{{DATE}}</w:t>
      </w:r>
    </w:p>
    <w:p>
      <w:pPr>
        <w:pStyle w:val="BodyText"/>
        <w:spacing w:before="11"/>
        <w:rPr>
          <w:rFonts w:eastAsia="Times New Roman"/>
          <w:iCs/>
          <w:color w:val="000000" w:themeColor="text1"/>
          <w:sz w:val="20"/>
          <w:szCs w:val="20"/>
        </w:rPr>
      </w:pPr>
    </w:p>
    <w:p>
      <w:pPr>
        <w:pStyle w:val="BodyText"/>
        <w:spacing w:before="11"/>
        <w:rPr>
          <w:rFonts w:eastAsia="Times New Roman"/>
          <w:iCs/>
          <w:color w:val="000000" w:themeColor="text1"/>
          <w:sz w:val="20"/>
          <w:szCs w:val="20"/>
        </w:rPr>
      </w:pPr>
      <w:r>
        <w:rPr>
          <w:rFonts w:eastAsia="Times New Roman"/>
          <w:iCs/>
          <w:color w:val="000000" w:themeColor="text1"/>
          <w:sz w:val="20"/>
          <w:szCs w:val="20"/>
        </w:rPr>
        <w:t>Dear {{CLIENT_NAME}},</w:t>
      </w:r>
    </w:p>
    <w:p>
      <w:pPr>
        <w:pStyle w:val="BodyText"/>
        <w:spacing w:before="11"/>
        <w:rPr>
          <w:rFonts w:eastAsia="Times New Roman"/>
          <w:iCs/>
          <w:color w:val="000000" w:themeColor="text1"/>
          <w:sz w:val="20"/>
          <w:szCs w:val="20"/>
        </w:rPr>
      </w:pPr>
    </w:p>
    <w:p>
      <w:pPr>
        <w:spacing w:before="180" w:after="60"/>
        <w:ind w:left="120"/>
        <w:rPr>
          <w:b/>
          <w:color w:val="005495"/>
          <w:sz w:val="22"/>
        </w:rPr>
      </w:pPr>
      <w:r>
        <w:rPr>
          <w:b/>
          <w:color w:val="005495"/>
          <w:sz w:val="22"/>
        </w:rPr>
        <w:t>Recommendation</w:t>
      </w:r>
    </w:p>
    <w:p>
      <w:pPr>
        <w:pStyle w:val="BodyText"/>
        <w:spacing w:before="11"/>
        <w:rPr>
          <w:rFonts w:eastAsia="Times New Roman"/>
          <w:iCs/>
          <w:color w:val="000000" w:themeColor="text1"/>
          <w:sz w:val="20"/>
          <w:szCs w:val="20"/>
        </w:rPr>
      </w:pPr>
      <w:r>
        <w:rPr>
          <w:rFonts w:eastAsia="Times New Roman"/>
          <w:iCs/>
          <w:color w:val="000000" w:themeColor="text1"/>
          <w:sz w:val="20"/>
          <w:szCs w:val="20"/>
        </w:rPr>
        <w:t>Based on our recent meeting and the financial needs analysis we completed together, I am recommending that you establish a First Home Savings Account (FHSA) under a segregated fund contract with {{COMPANY}}. The contribution amount is {{INVESTMENT_AMOUNT}}.</w:t>
      </w:r>
    </w:p>
    <w:p>
      <w:pPr>
        <w:pStyle w:val="BodyText"/>
        <w:spacing w:before="11"/>
        <w:rPr>
          <w:rFonts w:eastAsia="Times New Roman"/>
          <w:iCs/>
          <w:color w:val="000000" w:themeColor="text1"/>
          <w:sz w:val="20"/>
          <w:szCs w:val="20"/>
        </w:rPr>
      </w:pPr>
    </w:p>
    <w:p>
      <w:pPr>
        <w:spacing w:before="180" w:after="60"/>
        <w:ind w:left="120"/>
        <w:rPr>
          <w:b/>
          <w:color w:val="005495"/>
          <w:sz w:val="22"/>
        </w:rPr>
      </w:pPr>
      <w:r>
        <w:rPr>
          <w:b/>
          <w:color w:val="005495"/>
          <w:sz w:val="22"/>
        </w:rPr>
        <w:t>Your Stated Needs &amp; Objectives</w:t>
      </w:r>
    </w:p>
    <w:p>
      <w:pPr>
        <w:pStyle w:val="BodyText"/>
        <w:spacing w:before="11"/>
        <w:rPr>
          <w:rFonts w:eastAsia="Times New Roman"/>
          <w:iCs/>
          <w:color w:val="000000" w:themeColor="text1"/>
          <w:sz w:val="20"/>
          <w:szCs w:val="20"/>
        </w:rPr>
      </w:pPr>
      <w:r>
        <w:rPr>
          <w:rFonts w:eastAsia="Times New Roman"/>
          <w:iCs/>
          <w:color w:val="000000" w:themeColor="text1"/>
          <w:sz w:val="20"/>
          <w:szCs w:val="20"/>
        </w:rPr>
        <w:t>During our recent meeting, we reviewed your eligibility for an FHSA and confirmed that you are a Canadian resident at least 18 years of age (and under the age of 71) who has not lived in a qualifying home owned by you or your spouse/common-law partner in the current or preceding four calendar years. Your primary objective is to save for the down payment on your first qualifying home in the most tax-efficient manner available, while protecting your contributed capital.</w:t>
      </w:r>
    </w:p>
    <w:p>
      <w:pPr>
        <w:pStyle w:val="BodyText"/>
        <w:spacing w:before="11"/>
        <w:rPr>
          <w:rFonts w:eastAsia="Times New Roman"/>
          <w:iCs/>
          <w:color w:val="000000" w:themeColor="text1"/>
          <w:sz w:val="20"/>
          <w:szCs w:val="20"/>
        </w:rPr>
      </w:pPr>
    </w:p>
    <w:p>
      <w:pPr>
        <w:spacing w:before="180" w:after="60"/>
        <w:ind w:left="120"/>
        <w:rPr>
          <w:b/>
          <w:color w:val="005495"/>
          <w:sz w:val="22"/>
        </w:rPr>
      </w:pPr>
      <w:r>
        <w:rPr>
          <w:b/>
          <w:color w:val="005495"/>
          <w:sz w:val="22"/>
        </w:rPr>
        <w:t>How This Recommendation Meets Your Needs</w:t>
      </w:r>
    </w:p>
    <w:p>
      <w:pPr>
        <w:pStyle w:val="BodyText"/>
        <w:spacing w:before="11"/>
        <w:rPr>
          <w:rFonts w:eastAsia="Times New Roman"/>
          <w:iCs/>
          <w:color w:val="000000" w:themeColor="text1"/>
          <w:sz w:val="20"/>
          <w:szCs w:val="20"/>
        </w:rPr>
      </w:pPr>
      <w:r>
        <w:rPr>
          <w:rFonts w:eastAsia="Times New Roman"/>
          <w:iCs/>
          <w:color w:val="000000" w:themeColor="text1"/>
          <w:sz w:val="20"/>
          <w:szCs w:val="20"/>
        </w:rPr>
        <w:t>The FHSA uniquely combines the benefits of an RRSP (tax deduction on contribution) and a TFSA (tax-free withdrawal), making it the most tax-efficient vehicle available for first-time home buyers. You may contribute up to $8,000 per year, with a lifetime contribution limit of $40,000. Contributions generate an immediate tax deduction, growth within the account is tax-sheltered, and a qualifying withdrawal used to purchase your first home is completely tax-free.</w:t>
      </w:r>
    </w:p>
    <w:p>
      <w:pPr>
        <w:pStyle w:val="BodyText"/>
        <w:spacing w:before="11"/>
        <w:rPr>
          <w:rFonts w:eastAsia="Times New Roman"/>
          <w:iCs/>
          <w:color w:val="000000" w:themeColor="text1"/>
          <w:sz w:val="20"/>
          <w:szCs w:val="20"/>
        </w:rPr>
      </w:pPr>
    </w:p>
    <w:p>
      <w:pPr>
        <w:pStyle w:val="BodyText"/>
        <w:spacing w:before="11"/>
        <w:rPr>
          <w:rFonts w:eastAsia="Times New Roman"/>
          <w:iCs/>
          <w:color w:val="000000" w:themeColor="text1"/>
          <w:sz w:val="20"/>
          <w:szCs w:val="20"/>
        </w:rPr>
      </w:pPr>
      <w:r>
        <w:rPr>
          <w:rFonts w:eastAsia="Times New Roman"/>
          <w:iCs/>
          <w:color w:val="000000" w:themeColor="text1"/>
          <w:sz w:val="20"/>
          <w:szCs w:val="20"/>
        </w:rPr>
        <w:t>The {{COMPANY}} FHSA segregated fund contract additionally provides a {{MATURITY_GUARANTEE}}% Maturity Guarantee and a {{DEATH_BENEFIT_GUARANTEE}}% Death Benefit Guarantee on your net deposits, providing meaningful downside protection during your savings period. Your named beneficiary is {{BENEFICIARY}}, allowing the death benefit to pass directly outside of your estate.</w:t>
      </w:r>
    </w:p>
    <w:p>
      <w:pPr>
        <w:pStyle w:val="BodyText"/>
        <w:spacing w:before="11"/>
        <w:rPr>
          <w:rFonts w:eastAsia="Times New Roman"/>
          <w:iCs/>
          <w:color w:val="000000" w:themeColor="text1"/>
          <w:sz w:val="20"/>
          <w:szCs w:val="20"/>
        </w:rPr>
      </w:pPr>
    </w:p>
    <w:p>
      <w:pPr>
        <w:pStyle w:val="BodyText"/>
        <w:spacing w:before="11"/>
        <w:rPr>
          <w:rFonts w:eastAsia="Times New Roman"/>
          <w:iCs/>
          <w:color w:val="000000" w:themeColor="text1"/>
          <w:sz w:val="20"/>
          <w:szCs w:val="20"/>
        </w:rPr>
      </w:pPr>
      <w:r>
        <w:rPr>
          <w:rFonts w:eastAsia="Times New Roman"/>
          <w:iCs/>
          <w:color w:val="000000" w:themeColor="text1"/>
          <w:sz w:val="20"/>
          <w:szCs w:val="20"/>
        </w:rPr>
        <w:t>If you do not use the FHSA to purchase a qualifying home within 15 years of opening it, the funds may be transferred to your RRSP or RRIF on a tax-deferred basis without affecting your available RRSP contribution room. This makes the FHSA effectively a "no-downside" registered plan from a tax perspective.</w:t>
      </w:r>
    </w:p>
    <w:p>
      <w:pPr>
        <w:pStyle w:val="BodyText"/>
        <w:spacing w:before="11"/>
        <w:rPr>
          <w:rFonts w:eastAsia="Times New Roman"/>
          <w:iCs/>
          <w:color w:val="000000" w:themeColor="text1"/>
          <w:sz w:val="20"/>
          <w:szCs w:val="20"/>
        </w:rPr>
      </w:pPr>
    </w:p>
    <w:p>
      <w:pPr>
        <w:pStyle w:val="BodyText"/>
        <w:spacing w:before="11"/>
        <w:rPr>
          <w:rFonts w:eastAsia="Times New Roman"/>
          <w:iCs/>
          <w:color w:val="000000" w:themeColor="text1"/>
          <w:sz w:val="20"/>
          <w:szCs w:val="20"/>
        </w:rPr>
      </w:pPr>
      <w:r>
        <w:rPr>
          <w:rFonts w:eastAsia="Times New Roman"/>
          <w:iCs/>
          <w:color w:val="000000" w:themeColor="text1"/>
          <w:sz w:val="20"/>
          <w:szCs w:val="20"/>
        </w:rPr>
        <w:t>Based on your planned home-purchase timeline and risk tolerance, we selected a diversified portfolio of segregated funds aligned with your savings horizon. You retain the flexibility to switch between available funds in the contract as your timeline approaches.</w:t>
      </w:r>
    </w:p>
    <w:p>
      <w:pPr>
        <w:pStyle w:val="BodyText"/>
        <w:spacing w:before="11"/>
        <w:rPr>
          <w:rFonts w:eastAsia="Times New Roman"/>
          <w:iCs/>
          <w:color w:val="000000" w:themeColor="text1"/>
          <w:sz w:val="20"/>
          <w:szCs w:val="20"/>
        </w:rPr>
      </w:pPr>
    </w:p>
    <w:p>
      <w:pPr>
        <w:spacing w:before="180" w:after="60"/>
        <w:ind w:left="120"/>
        <w:rPr>
          <w:b/>
          <w:color w:val="005495"/>
          <w:sz w:val="22"/>
        </w:rPr>
      </w:pPr>
      <w:r>
        <w:rPr>
          <w:b/>
          <w:color w:val="005495"/>
          <w:sz w:val="22"/>
        </w:rPr>
        <w:t>Disclosures</w:t>
      </w:r>
    </w:p>
    <w:p>
      <w:pPr>
        <w:pStyle w:val="BodyText"/>
        <w:spacing w:before="11"/>
        <w:rPr>
          <w:rFonts w:eastAsia="Times New Roman"/>
          <w:iCs/>
          <w:color w:val="000000" w:themeColor="text1"/>
          <w:sz w:val="20"/>
          <w:szCs w:val="20"/>
        </w:rPr>
      </w:pPr>
      <w:r>
        <w:rPr>
          <w:rFonts w:eastAsia="Times New Roman"/>
          <w:iCs/>
          <w:color w:val="000000" w:themeColor="text1"/>
          <w:sz w:val="20"/>
          <w:szCs w:val="20"/>
        </w:rPr>
        <w:t xml:space="preserve">Prior to the signing of your application, I provided you with </w:t>
      </w:r>
      <w:r>
        <w:rPr>
          <w:rFonts w:eastAsia="Times New Roman"/>
          <w:iCs/>
          <w:color w:val="000000" w:themeColor="text1"/>
          <w:sz w:val="20"/>
          <w:szCs w:val="20"/>
          <w:b/>
        </w:rPr>
        <w:t>the Fund Facts document for each segregated fund selected, as well as the Information Folder and Contract</w:t>
      </w:r>
      <w:r>
        <w:rPr>
          <w:rFonts w:eastAsia="Times New Roman"/>
          <w:iCs/>
          <w:color w:val="000000" w:themeColor="text1"/>
          <w:sz w:val="20"/>
          <w:szCs w:val="20"/>
        </w:rPr>
        <w:t xml:space="preserve"> for the FHSA. We reviewed the key features, risks, guarantees, fees, and rescission rights described in those documents. </w:t>
      </w:r>
      <w:r>
        <w:rPr>
          <w:rFonts w:eastAsia="Times New Roman"/>
          <w:iCs/>
          <w:color w:val="000000" w:themeColor="text1"/>
          <w:sz w:val="20"/>
          <w:szCs w:val="20"/>
          <w:b/>
        </w:rPr>
        <w:t>Digital copies were sent to you by email</w:t>
      </w:r>
      <w:r>
        <w:rPr>
          <w:rFonts w:eastAsia="Times New Roman"/>
          <w:iCs/>
          <w:color w:val="000000" w:themeColor="text1"/>
          <w:sz w:val="20"/>
          <w:szCs w:val="20"/>
        </w:rPr>
        <w:t>; please let me know if you have not received them so I can provide duplicates for your records.</w:t>
      </w:r>
    </w:p>
    <w:p>
      <w:pPr>
        <w:pStyle w:val="BodyText"/>
        <w:spacing w:before="11"/>
        <w:rPr>
          <w:rFonts w:eastAsia="Times New Roman"/>
          <w:iCs/>
          <w:color w:val="000000" w:themeColor="text1"/>
          <w:sz w:val="20"/>
          <w:szCs w:val="20"/>
        </w:rPr>
      </w:pPr>
    </w:p>
    <w:p>
      <w:pPr>
        <w:spacing w:before="180" w:after="60"/>
        <w:ind w:left="120"/>
        <w:rPr>
          <w:b/>
          <w:color w:val="005495"/>
          <w:sz w:val="22"/>
        </w:rPr>
      </w:pPr>
      <w:r>
        <w:rPr>
          <w:b/>
          <w:color w:val="005495"/>
          <w:sz w:val="22"/>
        </w:rPr>
        <w:t>Risk Disclosures</w:t>
      </w:r>
    </w:p>
    <w:p>
      <w:pPr>
        <w:pStyle w:val="BodyText"/>
        <w:spacing w:before="11"/>
        <w:rPr>
          <w:rFonts w:eastAsia="Times New Roman"/>
          <w:iCs/>
          <w:color w:val="000000" w:themeColor="text1"/>
          <w:sz w:val="20"/>
          <w:szCs w:val="20"/>
        </w:rPr>
      </w:pPr>
      <w:r>
        <w:rPr>
          <w:rFonts w:eastAsia="Times New Roman"/>
          <w:iCs/>
          <w:color w:val="000000" w:themeColor="text1"/>
          <w:sz w:val="20"/>
          <w:szCs w:val="20"/>
        </w:rPr>
        <w:t>Segregated fund contracts are issued by an insurance company. They are not deposits and are not insured by the Canada Deposit Insurance Corporation (CDIC) or any other government deposit insurer. Although there is a degree of consumer protection provided by Assuris within prescribed limits, the value of the contract is not guaranteed by the Government of Canada or any provincial deposit insurer.</w:t>
      </w:r>
    </w:p>
    <w:p>
      <w:pPr>
        <w:pStyle w:val="BodyText"/>
        <w:spacing w:before="11"/>
        <w:rPr>
          <w:rFonts w:eastAsia="Times New Roman"/>
          <w:iCs/>
          <w:color w:val="000000" w:themeColor="text1"/>
          <w:sz w:val="20"/>
          <w:szCs w:val="20"/>
        </w:rPr>
      </w:pPr>
    </w:p>
    <w:p>
      <w:pPr>
        <w:pStyle w:val="BodyText"/>
        <w:spacing w:before="11"/>
        <w:rPr>
          <w:rFonts w:eastAsia="Times New Roman"/>
          <w:iCs/>
          <w:color w:val="000000" w:themeColor="text1"/>
          <w:sz w:val="20"/>
          <w:szCs w:val="20"/>
        </w:rPr>
      </w:pPr>
      <w:r>
        <w:rPr>
          <w:rFonts w:eastAsia="Times New Roman"/>
          <w:iCs/>
          <w:color w:val="000000" w:themeColor="text1"/>
          <w:sz w:val="20"/>
          <w:szCs w:val="20"/>
        </w:rPr>
        <w:t>The market value of your contract will fluctuate based on changes in the unit values of the underlying funds. The {{MATURITY_GUARANTEE}}% Maturity Guarantee and {{DEATH_BENEFIT_GUARANTEE}}% Death Benefit Guarantee apply only if the contract is held to its maturity date or paid on death; any partial withdrawals made before maturity will proportionately reduce both the maturity and death benefit guaranteed amounts. Past performance of any fund is not a reliable indicator of future results.</w:t>
      </w:r>
    </w:p>
    <w:p>
      <w:pPr>
        <w:pStyle w:val="BodyText"/>
        <w:spacing w:before="11"/>
        <w:rPr>
          <w:rFonts w:eastAsia="Times New Roman"/>
          <w:iCs/>
          <w:color w:val="000000" w:themeColor="text1"/>
          <w:sz w:val="20"/>
          <w:szCs w:val="20"/>
        </w:rPr>
      </w:pPr>
    </w:p>
    <w:p>
      <w:pPr>
        <w:spacing w:before="180" w:after="60"/>
        <w:ind w:left="120"/>
        <w:rPr>
          <w:b/>
          <w:color w:val="005495"/>
          <w:sz w:val="22"/>
        </w:rPr>
      </w:pPr>
      <w:r>
        <w:rPr>
          <w:b/>
          <w:color w:val="005495"/>
          <w:sz w:val="22"/>
        </w:rPr>
        <w:t>Alternatives Considered</w:t>
      </w:r>
    </w:p>
    <w:p>
      <w:pPr>
        <w:pStyle w:val="BodyText"/>
        <w:spacing w:before="11"/>
        <w:rPr>
          <w:rFonts w:eastAsia="Times New Roman"/>
          <w:iCs/>
          <w:color w:val="000000" w:themeColor="text1"/>
          <w:sz w:val="20"/>
          <w:szCs w:val="20"/>
        </w:rPr>
      </w:pPr>
      <w:r>
        <w:rPr>
          <w:rFonts w:eastAsia="Times New Roman"/>
          <w:iCs/>
          <w:color w:val="000000" w:themeColor="text1"/>
          <w:sz w:val="20"/>
          <w:szCs w:val="20"/>
        </w:rPr>
        <w:t>We discussed the Home Buyers' Plan (HBP) under your RRSP and a separate TFSA savings strategy. The FHSA was recommended because it provides both the contribution-side tax deduction (like an RRSP/HBP) and the tax-free withdrawal (like a TFSA), without the HBP requirement to repay the borrowed amount. Combining the FHSA with the HBP at the time of purchase is a strategy we may revisit closer to your home-buying date.</w:t>
      </w:r>
    </w:p>
    <w:p>
      <w:pPr>
        <w:pStyle w:val="BodyText"/>
        <w:spacing w:before="11"/>
        <w:rPr>
          <w:rFonts w:eastAsia="Times New Roman"/>
          <w:iCs/>
          <w:color w:val="000000" w:themeColor="text1"/>
          <w:sz w:val="20"/>
          <w:szCs w:val="20"/>
        </w:rPr>
      </w:pPr>
    </w:p>
    <w:p>
      <w:pPr>
        <w:spacing w:before="180" w:after="60"/>
        <w:ind w:left="120"/>
        <w:rPr>
          <w:b/>
          <w:color w:val="005495"/>
          <w:sz w:val="22"/>
        </w:rPr>
      </w:pPr>
      <w:r>
        <w:rPr>
          <w:b/>
          <w:color w:val="005495"/>
          <w:sz w:val="22"/>
        </w:rPr>
        <w:t>Important Notice</w:t>
      </w:r>
    </w:p>
    <w:p>
      <w:pPr>
        <w:pStyle w:val="BodyText"/>
        <w:spacing w:before="11"/>
        <w:rPr>
          <w:rFonts w:eastAsia="Times New Roman"/>
          <w:iCs/>
          <w:color w:val="000000" w:themeColor="text1"/>
          <w:sz w:val="20"/>
          <w:szCs w:val="20"/>
        </w:rPr>
      </w:pPr>
      <w:r>
        <w:rPr>
          <w:rFonts w:eastAsia="Times New Roman"/>
          <w:iCs/>
          <w:color w:val="000000" w:themeColor="text1"/>
          <w:sz w:val="20"/>
          <w:szCs w:val="20"/>
        </w:rPr>
        <w:t>If any of the information about you or your needs described in this letter is not correct, please contact me right away so we can update our records and reassess the suitability of this recommendation.</w:t>
      </w:r>
    </w:p>
    <w:p>
      <w:pPr>
        <w:pStyle w:val="BodyText"/>
        <w:spacing w:before="11"/>
        <w:rPr>
          <w:rFonts w:eastAsia="Times New Roman"/>
          <w:iCs/>
          <w:color w:val="000000" w:themeColor="text1"/>
          <w:sz w:val="20"/>
          <w:szCs w:val="20"/>
        </w:rPr>
      </w:pPr>
    </w:p>
    <w:p>
      <w:pPr>
        <w:pStyle w:val="BodyText"/>
        <w:spacing w:before="11"/>
        <w:rPr>
          <w:rFonts w:eastAsia="Times New Roman"/>
          <w:iCs/>
          <w:color w:val="000000" w:themeColor="text1"/>
          <w:sz w:val="20"/>
          <w:szCs w:val="20"/>
        </w:rPr>
      </w:pPr>
      <w:r>
        <w:rPr>
          <w:rFonts w:eastAsia="Times New Roman"/>
          <w:iCs/>
          <w:color w:val="000000" w:themeColor="text1"/>
          <w:sz w:val="20"/>
          <w:szCs w:val="20"/>
        </w:rPr>
        <w:t>If you have any questions about the policy, your investments, the guarantees, the fees, or why I am recommending this solution, please do not hesitate to ask me now or at any time in the future. I encourage you to keep this letter with your contract and policy documents as a permanent record of why you have purchased this product and the rationale behind the recommendation.</w:t>
      </w:r>
    </w:p>
    <w:p>
      <w:pPr>
        <w:pStyle w:val="BodyText"/>
        <w:spacing w:before="11"/>
        <w:rPr>
          <w:rFonts w:eastAsia="Times New Roman"/>
          <w:iCs/>
          <w:color w:val="000000" w:themeColor="text1"/>
          <w:sz w:val="20"/>
          <w:szCs w:val="20"/>
        </w:rPr>
      </w:pPr>
    </w:p>
    <w:p>
      <w:pPr>
        <w:pStyle w:val="BodyText"/>
        <w:spacing w:before="11"/>
        <w:rPr>
          <w:rFonts w:eastAsia="Times New Roman"/>
          <w:iCs/>
          <w:color w:val="000000" w:themeColor="text1"/>
          <w:sz w:val="20"/>
          <w:szCs w:val="20"/>
        </w:rPr>
      </w:pPr>
      <w:r>
        <w:rPr>
          <w:rFonts w:eastAsia="Times New Roman"/>
          <w:iCs/>
          <w:color w:val="000000" w:themeColor="text1"/>
          <w:sz w:val="20"/>
          <w:szCs w:val="20"/>
        </w:rPr>
        <w:t>I will continue to review your contract with you periodically to ensure it remains aligned with your evolving financial circumstances, goals, and risk tolerance. If your personal or financial situation changes in a material way, please contact me so we can reassess your needs.</w:t>
      </w:r>
    </w:p>
    <w:p>
      <w:pPr>
        <w:pStyle w:val="BodyText"/>
        <w:spacing w:before="11"/>
        <w:rPr>
          <w:rFonts w:eastAsia="Times New Roman"/>
          <w:iCs/>
          <w:color w:val="000000" w:themeColor="text1"/>
          <w:sz w:val="20"/>
          <w:szCs w:val="20"/>
        </w:rPr>
      </w:pPr>
    </w:p>
    <w:p>
      <w:pPr>
        <w:pStyle w:val="BodyText"/>
        <w:spacing w:before="11"/>
        <w:rPr>
          <w:rFonts w:eastAsia="Times New Roman"/>
          <w:iCs/>
          <w:color w:val="000000" w:themeColor="text1"/>
          <w:sz w:val="20"/>
          <w:szCs w:val="20"/>
        </w:rPr>
      </w:pPr>
      <w:r>
        <w:rPr>
          <w:rFonts w:eastAsia="Times New Roman"/>
          <w:iCs/>
          <w:color w:val="000000" w:themeColor="text1"/>
          <w:sz w:val="20"/>
          <w:szCs w:val="20"/>
        </w:rPr>
        <w:t>I truly appreciate the trust and confidence you have placed in me. If you know of family members, friends, or colleagues who might benefit from professional financial guidance, I would be grateful if you shared my contact information with them.</w:t>
      </w:r>
    </w:p>
    <w:p>
      <w:pPr>
        <w:pStyle w:val="BodyText"/>
        <w:spacing w:before="11"/>
        <w:rPr>
          <w:rFonts w:eastAsia="Times New Roman"/>
          <w:iCs/>
          <w:color w:val="000000" w:themeColor="text1"/>
          <w:sz w:val="20"/>
          <w:szCs w:val="20"/>
        </w:rPr>
      </w:pPr>
    </w:p>
    <w:p>
      <w:pPr>
        <w:pStyle w:val="BodyText"/>
        <w:spacing w:before="11"/>
        <w:rPr>
          <w:rFonts w:eastAsia="Times New Roman"/>
          <w:iCs/>
          <w:color w:val="000000" w:themeColor="text1"/>
          <w:sz w:val="20"/>
          <w:szCs w:val="20"/>
        </w:rPr>
      </w:pPr>
      <w:r>
        <w:rPr>
          <w:rFonts w:eastAsia="Times New Roman"/>
          <w:iCs/>
          <w:color w:val="000000" w:themeColor="text1"/>
          <w:sz w:val="20"/>
          <w:szCs w:val="20"/>
        </w:rPr>
        <w:t>Thank you again for choosing me as your insurance and investment advisor.</w:t>
      </w:r>
    </w:p>
    <w:p>
      <w:pPr>
        <w:pStyle w:val="BodyText"/>
        <w:spacing w:before="11"/>
        <w:rPr>
          <w:rFonts w:eastAsia="Times New Roman"/>
          <w:iCs/>
          <w:color w:val="000000" w:themeColor="text1"/>
          <w:sz w:val="20"/>
          <w:szCs w:val="20"/>
        </w:rPr>
      </w:pPr>
    </w:p>
    <w:p>
      <w:pPr>
        <w:pStyle w:val="BodyText"/>
        <w:spacing w:before="11"/>
        <w:rPr>
          <w:rFonts w:eastAsia="Times New Roman"/>
          <w:iCs/>
          <w:color w:val="000000" w:themeColor="text1"/>
          <w:sz w:val="20"/>
          <w:szCs w:val="20"/>
        </w:rPr>
      </w:pPr>
    </w:p>
    <w:p>
      <w:pPr>
        <w:pStyle w:val="BodyText"/>
        <w:spacing w:before="11"/>
        <w:rPr>
          <w:rFonts w:eastAsia="Times New Roman"/>
          <w:iCs/>
          <w:color w:val="000000" w:themeColor="text1"/>
          <w:sz w:val="20"/>
          <w:szCs w:val="20"/>
        </w:rPr>
      </w:pPr>
      <w:r>
        <w:rPr>
          <w:rFonts w:eastAsia="Times New Roman"/>
          <w:iCs/>
          <w:color w:val="000000" w:themeColor="text1"/>
          <w:sz w:val="20"/>
          <w:szCs w:val="20"/>
        </w:rPr>
        <w:t>Sincerely,</w:t>
      </w:r>
    </w:p>
    <w:p>
      <w:pPr>
        <w:pStyle w:val="BodyText"/>
        <w:spacing w:before="11"/>
        <w:rPr>
          <w:rFonts w:eastAsia="Times New Roman"/>
          <w:iCs/>
          <w:color w:val="000000" w:themeColor="text1"/>
          <w:sz w:val="20"/>
          <w:szCs w:val="20"/>
        </w:rPr>
      </w:pPr>
    </w:p>
    <w:p>
      <w:pPr>
        <w:pStyle w:val="BodyText"/>
        <w:spacing w:before="11"/>
        <w:rPr>
          <w:rFonts w:eastAsia="Times New Roman"/>
          <w:iCs/>
          <w:color w:val="000000" w:themeColor="text1"/>
          <w:sz w:val="20"/>
          <w:szCs w:val="20"/>
        </w:rPr>
      </w:pPr>
    </w:p>
    <w:p>
      <w:pPr>
        <w:pStyle w:val="BodyText"/>
        <w:spacing w:before="11"/>
        <w:rPr>
          <w:rFonts w:eastAsia="Times New Roman"/>
          <w:iCs/>
          <w:color w:val="000000" w:themeColor="text1"/>
          <w:sz w:val="20"/>
          <w:szCs w:val="20"/>
        </w:rPr>
      </w:pPr>
    </w:p>
    <w:p>
      <w:pPr>
        <w:pStyle w:val="BodyText"/>
        <w:spacing w:before="11"/>
        <w:rPr>
          <w:rFonts w:eastAsia="Times New Roman"/>
          <w:iCs/>
          <w:color w:val="000000" w:themeColor="text1"/>
          <w:sz w:val="20"/>
          <w:szCs w:val="20"/>
        </w:rPr>
      </w:pPr>
      <w:r>
        <w:rPr>
          <w:rFonts w:eastAsia="Times New Roman"/>
          <w:iCs/>
          <w:color w:val="000000" w:themeColor="text1"/>
          <w:sz w:val="20"/>
          <w:szCs w:val="20"/>
        </w:rPr>
        <w:t>Jie Jeffrey Yuan, B.A. RRC</w:t>
      </w:r>
    </w:p>
    <w:p>
      <w:pPr>
        <w:pStyle w:val="BodyText"/>
        <w:spacing w:before="11"/>
        <w:rPr>
          <w:rFonts w:eastAsia="Times New Roman"/>
          <w:iCs/>
          <w:color w:val="000000" w:themeColor="text1"/>
          <w:sz w:val="20"/>
          <w:szCs w:val="20"/>
        </w:rPr>
      </w:pPr>
      <w:r>
        <w:rPr>
          <w:rFonts w:eastAsia="Times New Roman"/>
          <w:iCs/>
          <w:color w:val="000000" w:themeColor="text1"/>
          <w:sz w:val="20"/>
          <w:szCs w:val="20"/>
        </w:rPr>
        <w:t>Independent Broker</w:t>
      </w:r>
    </w:p>
    <w:p>
      <w:pPr>
        <w:pStyle w:val="BodyText"/>
        <w:spacing w:before="11"/>
        <w:rPr>
          <w:rFonts w:eastAsia="Times New Roman"/>
          <w:iCs/>
          <w:color w:val="000000" w:themeColor="text1"/>
          <w:sz w:val="20"/>
          <w:szCs w:val="20"/>
        </w:rPr>
      </w:pPr>
      <w:r>
        <w:rPr>
          <w:rFonts w:eastAsia="Times New Roman"/>
          <w:iCs/>
          <w:color w:val="000000" w:themeColor="text1"/>
          <w:sz w:val="20"/>
          <w:szCs w:val="20"/>
        </w:rPr>
        <w:t>778-837-6688</w:t>
      </w:r>
    </w:p>
    <w:p>
      <w:pPr>
        <w:pStyle w:val="BodyText"/>
        <w:spacing w:before="11"/>
        <w:rPr>
          <w:rFonts w:eastAsia="Times New Roman"/>
          <w:iCs/>
          <w:color w:val="000000" w:themeColor="text1"/>
          <w:sz w:val="20"/>
          <w:szCs w:val="20"/>
        </w:rPr>
      </w:pPr>
    </w:p>
    <w:sectPr w:rsidR="00222275" w:rsidRPr="002F19B4" w:rsidSect="00B90F5A">
      <w:pgSz w:w="12240" w:h="15840"/>
      <w:pgMar w:top="660" w:right="960" w:bottom="280" w:left="9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0F5A"/>
    <w:rsid w:val="000A607A"/>
    <w:rsid w:val="001169E2"/>
    <w:rsid w:val="00222275"/>
    <w:rsid w:val="00251E4F"/>
    <w:rsid w:val="002F19B4"/>
    <w:rsid w:val="0071792D"/>
    <w:rsid w:val="007E77DB"/>
    <w:rsid w:val="00813A85"/>
    <w:rsid w:val="008343B9"/>
    <w:rsid w:val="008B28FE"/>
    <w:rsid w:val="00913DDE"/>
    <w:rsid w:val="00A91E63"/>
    <w:rsid w:val="00AC4269"/>
    <w:rsid w:val="00AF0C99"/>
    <w:rsid w:val="00B90F5A"/>
    <w:rsid w:val="00B928E0"/>
    <w:rsid w:val="00E02CAC"/>
    <w:rsid w:val="00E359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7090C"/>
  <w15:chartTrackingRefBased/>
  <w15:docId w15:val="{3738DA0E-5055-4976-A177-9C8F64177D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0F5A"/>
    <w:pPr>
      <w:widowControl w:val="0"/>
      <w:autoSpaceDE w:val="0"/>
      <w:autoSpaceDN w:val="0"/>
      <w:spacing w:after="0" w:line="240" w:lineRule="auto"/>
    </w:pPr>
    <w:rPr>
      <w:rFonts w:ascii="Arial" w:eastAsia="Arial" w:hAnsi="Arial" w:cs="Arial"/>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B90F5A"/>
    <w:rPr>
      <w:sz w:val="21"/>
      <w:szCs w:val="21"/>
    </w:rPr>
  </w:style>
  <w:style w:type="character" w:customStyle="1" w:styleId="BodyTextChar">
    <w:name w:val="Body Text Char"/>
    <w:basedOn w:val="DefaultParagraphFont"/>
    <w:link w:val="BodyText"/>
    <w:uiPriority w:val="1"/>
    <w:rsid w:val="00B90F5A"/>
    <w:rPr>
      <w:rFonts w:ascii="Arial" w:eastAsia="Arial" w:hAnsi="Arial" w:cs="Arial"/>
      <w:sz w:val="21"/>
      <w:szCs w:val="21"/>
      <w:lang w:eastAsia="en-US"/>
    </w:rPr>
  </w:style>
  <w:style w:type="paragraph" w:customStyle="1" w:styleId="Default">
    <w:name w:val="Default"/>
    <w:rsid w:val="00813A85"/>
    <w:pPr>
      <w:widowControl w:val="0"/>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103</TotalTime>
  <Pages>1</Pages>
  <Words>498</Words>
  <Characters>2449</Characters>
  <Application>Microsoft Office Word</Application>
  <DocSecurity>0</DocSecurity>
  <Lines>51</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Jeffrey Yuan</dc:creator>
  <cp:keywords/>
  <dc:description/>
  <cp:lastModifiedBy>Jeffrey Yuan</cp:lastModifiedBy>
  <cp:revision>14</cp:revision>
  <cp:lastPrinted>2026-05-12T00:55:00Z</cp:lastPrinted>
  <dcterms:created xsi:type="dcterms:W3CDTF">2021-03-22T20:04:00Z</dcterms:created>
  <dcterms:modified xsi:type="dcterms:W3CDTF">2026-05-12T01:56:00Z</dcterms:modified>
</cp:coreProperties>
</file>