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
        <w:ind w:left="120"/>
        <w:rPr>
          <w:color w:val="005495"/>
          <w:sz w:val="32"/>
        </w:rPr>
      </w:pPr>
      <w:r>
        <w:rPr>
          <w:color w:val="005495"/>
          <w:sz w:val="32"/>
        </w:rPr>
        <w:t>REASON WHY LETTER</w:t>
      </w:r>
    </w:p>
    <w:p>
      <w:pPr>
        <w:spacing w:before="60"/>
        <w:ind w:left="120"/>
        <w:rPr>
          <w:color w:val="005495"/>
          <w:sz w:val="32"/>
        </w:rPr>
      </w:pPr>
      <w:r>
        <w:rPr>
          <w:color w:val="005495"/>
          <w:sz w:val="32"/>
        </w:rPr>
        <w:t>{{COMPANY}} Segregated Fund Contract — Non-Registered</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{{DATE}}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Dear {{CLIENT_NAME}},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Recommendation</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our recent meeting and the financial needs analysis we completed together, I am recommending that you establish a Non-Registered account under a segregated fund contract with {{COMPANY}}. The contribution amount is {{INVESTMENT_AMOUNT}}.</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Your Stated Needs &amp; Objectives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During our recent meeting, we reviewed your overall financial situation, long-term goals, and your comfort level with investment risk. You confirmed that you have already maximized (or are on track to maximize) your TFSA and RRSP contribution room and are now seeking to invest additional savings. Your primary objectives are: (1) to continue building investment wealth beyond your registered accounts; (2) to protect those assets from potential creditor claims; (3) to ensure an efficient, private, and probate-free transfer of these assets to your beneficiary upon death; and (4) to manage the tax impact of investment growth.</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How This Recommendation Meets Your Needs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{{COMPANY}} Non-Registered segregated fund contract addresses these objectives in ways that traditional non-registered mutual fund accounts cannot. As an insurance contract, naming {{BENEFICIARY}} as your direct beneficiary allows the death benefit to bypass your estate, avoiding probate fees and providing privacy and timeliness of payment. When a preferred beneficiary (spouse, child, grandchild, or parent) is named, the contract may also benefit from potential protection from certain creditor claims, subject to applicable provincial law and case-law tests.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contract provides a {{MATURITY_GUARANTEE}}% Maturity Guarantee and a {{DEATH_BENEFIT_GUARANTEE}}% Death Benefit Guarantee on your net deposits. Investment growth that arises from capital appreciation is generally recognized as a capital gain (50% taxable inclusion rate) upon disposition, while other allocations (interest, foreign income, dividends) are allocated annually as required under the Income Tax Act. There is no annual contribution limit, allowing you to deploy any amount beyond your registered account ceilings.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your investment horizon and risk tolerance, we selected a diversified portfolio of segregated funds aligned with your long-term wealth-building objectives, with the flexibility to switch between available funds as your needs evolve.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 xml:space="preserve">Prior to the signing of your application, I provided you with </w:t>
      </w:r>
      <w:r>
        <w:rPr>
          <w:rFonts w:eastAsia="Times New Roman"/>
          <w:iCs/>
          <w:color w:val="000000" w:themeColor="text1"/>
          <w:sz w:val="20"/>
          <w:szCs w:val="20"/>
          <w:b/>
        </w:rPr>
        <w:t>the Fund Facts document for each segregated fund selected, as well as the Information Folder and Contract</w:t>
      </w:r>
      <w:r>
        <w:rPr>
          <w:rFonts w:eastAsia="Times New Roman"/>
          <w:iCs/>
          <w:color w:val="000000" w:themeColor="text1"/>
          <w:sz w:val="20"/>
          <w:szCs w:val="20"/>
        </w:rPr>
        <w:t xml:space="preserve"> for the Non-Registered account. We reviewed the key features, risks, guarantees, fees, and rescission rights described in those documents. </w:t>
      </w:r>
      <w:r>
        <w:rPr>
          <w:rFonts w:eastAsia="Times New Roman"/>
          <w:iCs/>
          <w:color w:val="000000" w:themeColor="text1"/>
          <w:sz w:val="20"/>
          <w:szCs w:val="20"/>
          <w:b/>
        </w:rPr>
        <w:t>Digital copies were sent to you by email</w:t>
      </w:r>
      <w:r>
        <w:rPr>
          <w:rFonts w:eastAsia="Times New Roman"/>
          <w:iCs/>
          <w:color w:val="000000" w:themeColor="text1"/>
          <w:sz w:val="20"/>
          <w:szCs w:val="20"/>
        </w:rPr>
        <w:t>; please let me know if you have not received them so I can provide duplicates for your records.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Risk 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Segregated fund contracts are issued by an insurance company. They are not deposits and are not insured by the Canada Deposit Insurance Corporation (CDIC) or any other government deposit insurer. Although there is a degree of consumer protection provided by Assuris within prescribed limits, the value of the contract is not guaranteed by the Government of Canada or any provincial deposit insurer.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market value of your contract will fluctuate based on changes in the unit values of the underlying funds. The {{MATURITY_GUARANTEE}}% Maturity Guarantee and {{DEATH_BENEFIT_GUARANTEE}}% Death Benefit Guarantee apply only if the contract is held to its maturity date or paid on death; any partial withdrawals made before maturity will proportionately reduce both the maturity and death benefit guaranteed amounts. Past performance of any fund is not a reliable indicator of future results.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Alternatives Considered</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We discussed traditional non-registered mutual fund accounts, GICs, and direct ownership of equity securities. The segregated fund contract was recommended because it provides estate-bypass and potential creditor-protection features unique to insurance products, in addition to the maturity and death benefit guarantees that mutual funds and GICs do not offer.</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Important Notice</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any of the information about you or your needs described in this letter is not correct, please contact me right away so we can update our records and reassess the suitability of this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you have any questions about the policy, your investments, the guarantees, the fees, or why I am recommending this solution, please do not hesitate to ask me now or at any time in the future. I encourage you to keep this letter with your contract and policy documents as a permanent record of why you have purchased this product and the rationale behind the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will continue to review your contract with you periodically to ensure it remains aligned with your evolving financial circumstances, goals, and risk tolerance. If your personal or financial situation changes in a material way, please contact me so we can reassess your needs.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truly appreciate the trust and confidence you have placed in me. If you know of family members, friends, or colleagues who might benefit from professional financial guidance, I would be grateful if you shared my contact information with them.</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Thank you again for choosing me as your insurance and investment advisor.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Sincerely,</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Jie Jeffrey Yuan, B.A. RRC</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Independent Broker</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778-837-6688</w:t>
      </w:r>
    </w:p>
    <w:p>
      <w:pPr>
        <w:pStyle w:val="BodyText"/>
        <w:spacing w:before="11"/>
        <w:rPr>
          <w:rFonts w:eastAsia="Times New Roman"/>
          <w:iCs/>
          <w:color w:val="000000" w:themeColor="text1"/>
          <w:sz w:val="20"/>
          <w:szCs w:val="20"/>
        </w:rPr>
      </w:pPr>
    </w:p>
    <w:sectPr w:rsidR="00222275" w:rsidRPr="002F19B4" w:rsidSect="00B90F5A">
      <w:pgSz w:w="12240" w:h="15840"/>
      <w:pgMar w:top="660" w:right="9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5A"/>
    <w:rsid w:val="000A607A"/>
    <w:rsid w:val="001169E2"/>
    <w:rsid w:val="00222275"/>
    <w:rsid w:val="00251E4F"/>
    <w:rsid w:val="002F19B4"/>
    <w:rsid w:val="0071792D"/>
    <w:rsid w:val="007E77DB"/>
    <w:rsid w:val="00813A85"/>
    <w:rsid w:val="008343B9"/>
    <w:rsid w:val="008B28FE"/>
    <w:rsid w:val="00913DDE"/>
    <w:rsid w:val="00A91E63"/>
    <w:rsid w:val="00AC4269"/>
    <w:rsid w:val="00AF0C99"/>
    <w:rsid w:val="00B90F5A"/>
    <w:rsid w:val="00B928E0"/>
    <w:rsid w:val="00E02CAC"/>
    <w:rsid w:val="00E35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90C"/>
  <w15:chartTrackingRefBased/>
  <w15:docId w15:val="{3738DA0E-5055-4976-A177-9C8F6417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5A"/>
    <w:pPr>
      <w:widowControl w:val="0"/>
      <w:autoSpaceDE w:val="0"/>
      <w:autoSpaceDN w:val="0"/>
      <w:spacing w:after="0" w:line="240" w:lineRule="auto"/>
    </w:pPr>
    <w:rPr>
      <w:rFonts w:ascii="Arial" w:eastAsia="Arial" w:hAnsi="Arial" w:cs="Arial"/>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90F5A"/>
    <w:rPr>
      <w:sz w:val="21"/>
      <w:szCs w:val="21"/>
    </w:rPr>
  </w:style>
  <w:style w:type="character" w:customStyle="1" w:styleId="BodyTextChar">
    <w:name w:val="Body Text Char"/>
    <w:basedOn w:val="DefaultParagraphFont"/>
    <w:link w:val="BodyText"/>
    <w:uiPriority w:val="1"/>
    <w:rsid w:val="00B90F5A"/>
    <w:rPr>
      <w:rFonts w:ascii="Arial" w:eastAsia="Arial" w:hAnsi="Arial" w:cs="Arial"/>
      <w:sz w:val="21"/>
      <w:szCs w:val="21"/>
      <w:lang w:eastAsia="en-US"/>
    </w:rPr>
  </w:style>
  <w:style w:type="paragraph" w:customStyle="1" w:styleId="Default">
    <w:name w:val="Default"/>
    <w:rsid w:val="00813A85"/>
    <w:pPr>
      <w:widowControl w:val="0"/>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498</Words>
  <Characters>2449</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Yuan</dc:creator>
  <cp:keywords/>
  <dc:description/>
  <cp:lastModifiedBy>Jeffrey Yuan</cp:lastModifiedBy>
  <cp:revision>14</cp:revision>
  <cp:lastPrinted>2026-05-12T00:55:00Z</cp:lastPrinted>
  <dcterms:created xsi:type="dcterms:W3CDTF">2021-03-22T20:04:00Z</dcterms:created>
  <dcterms:modified xsi:type="dcterms:W3CDTF">2026-05-12T01:56:00Z</dcterms:modified>
</cp:coreProperties>
</file>