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B1F7F" w14:textId="77777777" w:rsidR="00512407" w:rsidRPr="00512407" w:rsidRDefault="00512407">
      <w:pPr>
        <w:pBdr>
          <w:top w:val="nil"/>
          <w:left w:val="nil"/>
          <w:bottom w:val="nil"/>
          <w:right w:val="nil"/>
          <w:between w:val="nil"/>
        </w:pBdr>
        <w:spacing w:before="240" w:after="240"/>
        <w:jc w:val="center"/>
        <w:rPr>
          <w:rFonts w:ascii="Palatino Linotype" w:hAnsi="Palatino Linotype"/>
          <w:b/>
          <w:sz w:val="24"/>
          <w:szCs w:val="28"/>
        </w:rPr>
      </w:pPr>
      <w:r w:rsidRPr="00512407">
        <w:rPr>
          <w:rFonts w:ascii="Palatino Linotype" w:hAnsi="Palatino Linotype"/>
          <w:b/>
          <w:sz w:val="24"/>
          <w:szCs w:val="28"/>
        </w:rPr>
        <w:t>Volcanic hazard exacerbated by global warming–driven increase in heavy rainfall</w:t>
      </w:r>
    </w:p>
    <w:p w14:paraId="31B433AA" w14:textId="77777777" w:rsidR="0055039A" w:rsidRDefault="003A5537">
      <w:pPr>
        <w:pBdr>
          <w:top w:val="nil"/>
          <w:left w:val="nil"/>
          <w:bottom w:val="nil"/>
          <w:right w:val="nil"/>
          <w:between w:val="nil"/>
        </w:pBdr>
        <w:spacing w:before="120" w:after="360"/>
        <w:rPr>
          <w:rFonts w:ascii="Calibri" w:eastAsia="Calibri" w:hAnsi="Calibri" w:cs="Calibri"/>
          <w:color w:val="000000"/>
        </w:rPr>
      </w:pPr>
      <w:r>
        <w:rPr>
          <w:rFonts w:ascii="Calibri" w:eastAsia="Calibri" w:hAnsi="Calibri" w:cs="Calibri"/>
          <w:b/>
          <w:color w:val="000000"/>
        </w:rPr>
        <w:t>J</w:t>
      </w:r>
      <w:r>
        <w:rPr>
          <w:rFonts w:ascii="Calibri" w:eastAsia="Calibri" w:hAnsi="Calibri" w:cs="Calibri"/>
          <w:b/>
        </w:rPr>
        <w:t>amie</w:t>
      </w:r>
      <w:r>
        <w:rPr>
          <w:rFonts w:ascii="Calibri" w:eastAsia="Calibri" w:hAnsi="Calibri" w:cs="Calibri"/>
          <w:b/>
          <w:color w:val="000000"/>
        </w:rPr>
        <w:t xml:space="preserve"> I. Farquharson</w:t>
      </w:r>
      <w:r>
        <w:rPr>
          <w:rFonts w:ascii="Calibri" w:eastAsia="Calibri" w:hAnsi="Calibri" w:cs="Calibri"/>
          <w:b/>
          <w:color w:val="000000"/>
          <w:vertAlign w:val="superscript"/>
        </w:rPr>
        <w:t>1</w:t>
      </w:r>
      <w:r>
        <w:rPr>
          <w:rFonts w:ascii="Calibri" w:eastAsia="Calibri" w:hAnsi="Calibri" w:cs="Calibri"/>
          <w:b/>
          <w:color w:val="000000"/>
        </w:rPr>
        <w:t>,</w:t>
      </w:r>
      <w:r>
        <w:rPr>
          <w:rFonts w:ascii="Calibri" w:eastAsia="Calibri" w:hAnsi="Calibri" w:cs="Calibri"/>
          <w:b/>
        </w:rPr>
        <w:t xml:space="preserve"> Falk Amelung</w:t>
      </w:r>
      <w:r>
        <w:rPr>
          <w:rFonts w:ascii="Calibri" w:eastAsia="Calibri" w:hAnsi="Calibri" w:cs="Calibri"/>
          <w:b/>
          <w:vertAlign w:val="superscript"/>
        </w:rPr>
        <w:t>1</w:t>
      </w:r>
    </w:p>
    <w:p w14:paraId="692EC338" w14:textId="77777777" w:rsidR="0055039A" w:rsidRDefault="003A5537">
      <w:pPr>
        <w:pBdr>
          <w:top w:val="nil"/>
          <w:left w:val="nil"/>
          <w:bottom w:val="nil"/>
          <w:right w:val="nil"/>
          <w:between w:val="nil"/>
        </w:pBdr>
        <w:spacing w:before="120"/>
        <w:rPr>
          <w:rFonts w:ascii="Calibri" w:eastAsia="Calibri" w:hAnsi="Calibri" w:cs="Calibri"/>
          <w:color w:val="000000"/>
        </w:rPr>
      </w:pPr>
      <w:r>
        <w:rPr>
          <w:rFonts w:ascii="Calibri" w:eastAsia="Calibri" w:hAnsi="Calibri" w:cs="Calibri"/>
          <w:color w:val="000000"/>
          <w:vertAlign w:val="superscript"/>
        </w:rPr>
        <w:t>1</w:t>
      </w:r>
      <w:r>
        <w:rPr>
          <w:rFonts w:ascii="Calibri" w:eastAsia="Calibri" w:hAnsi="Calibri" w:cs="Calibri"/>
          <w:color w:val="222222"/>
          <w:highlight w:val="white"/>
        </w:rPr>
        <w:t xml:space="preserve"> </w:t>
      </w:r>
      <w:proofErr w:type="spellStart"/>
      <w:r>
        <w:rPr>
          <w:rFonts w:ascii="Calibri" w:eastAsia="Calibri" w:hAnsi="Calibri" w:cs="Calibri"/>
          <w:color w:val="000000"/>
        </w:rPr>
        <w:t>Rosenstiel</w:t>
      </w:r>
      <w:proofErr w:type="spellEnd"/>
      <w:r>
        <w:rPr>
          <w:rFonts w:ascii="Calibri" w:eastAsia="Calibri" w:hAnsi="Calibri" w:cs="Calibri"/>
          <w:color w:val="000000"/>
        </w:rPr>
        <w:t xml:space="preserve"> School of Marine and Atmospheric Science, University of Miami, Miami, FL, USA</w:t>
      </w:r>
    </w:p>
    <w:p w14:paraId="4204199B" w14:textId="77777777" w:rsidR="0055039A" w:rsidRDefault="0055039A">
      <w:pPr>
        <w:pBdr>
          <w:top w:val="nil"/>
          <w:left w:val="nil"/>
          <w:bottom w:val="nil"/>
          <w:right w:val="nil"/>
          <w:between w:val="nil"/>
        </w:pBdr>
        <w:spacing w:before="120"/>
        <w:rPr>
          <w:rFonts w:ascii="Calibri" w:eastAsia="Calibri" w:hAnsi="Calibri" w:cs="Calibri"/>
          <w:color w:val="000000"/>
        </w:rPr>
      </w:pPr>
    </w:p>
    <w:p w14:paraId="3257161E" w14:textId="77777777" w:rsidR="0055039A" w:rsidRDefault="003A5537">
      <w:pPr>
        <w:pBdr>
          <w:top w:val="nil"/>
          <w:left w:val="nil"/>
          <w:bottom w:val="nil"/>
          <w:right w:val="nil"/>
          <w:between w:val="nil"/>
        </w:pBdr>
        <w:spacing w:before="120"/>
        <w:rPr>
          <w:rFonts w:ascii="Calibri" w:eastAsia="Calibri" w:hAnsi="Calibri" w:cs="Calibri"/>
          <w:color w:val="000000"/>
        </w:rPr>
      </w:pPr>
      <w:r>
        <w:rPr>
          <w:rFonts w:ascii="Calibri" w:eastAsia="Calibri" w:hAnsi="Calibri" w:cs="Calibri"/>
          <w:color w:val="000000"/>
        </w:rPr>
        <w:t>Corresponding author: first and last name (</w:t>
      </w:r>
      <w:hyperlink r:id="rId6">
        <w:r>
          <w:rPr>
            <w:rFonts w:ascii="Calibri" w:eastAsia="Calibri" w:hAnsi="Calibri" w:cs="Calibri"/>
            <w:color w:val="0000FF"/>
            <w:u w:val="single"/>
          </w:rPr>
          <w:t>james.farquharson@rsmas.miami.edu</w:t>
        </w:r>
      </w:hyperlink>
      <w:r>
        <w:rPr>
          <w:rFonts w:ascii="Calibri" w:eastAsia="Calibri" w:hAnsi="Calibri" w:cs="Calibri"/>
          <w:color w:val="000000"/>
        </w:rPr>
        <w:t>)</w:t>
      </w:r>
    </w:p>
    <w:p w14:paraId="51F84953" w14:textId="77777777" w:rsidR="0055039A" w:rsidRDefault="003A5537">
      <w:pPr>
        <w:pStyle w:val="Heading3"/>
        <w:spacing w:before="240" w:after="120"/>
      </w:pPr>
      <w:bookmarkStart w:id="0" w:name="_c30rk18867xd" w:colFirst="0" w:colLast="0"/>
      <w:bookmarkEnd w:id="0"/>
      <w:r>
        <w:t>Abstract</w:t>
      </w:r>
    </w:p>
    <w:p w14:paraId="3D21D97B" w14:textId="77777777" w:rsidR="0055039A" w:rsidRDefault="003A5537">
      <w:r>
        <w:t>Heavy rainfall drives a range of eruptive and noneruptive volcanic hazards; over the Holocene, the incidence of many such hazards has increased due to rapid climate change.</w:t>
      </w:r>
      <w:r>
        <w:rPr>
          <w:b/>
        </w:rPr>
        <w:t xml:space="preserve"> </w:t>
      </w:r>
      <w:r>
        <w:t>Here we show that extreme heavy rainfall is projected to increase with continued gl</w:t>
      </w:r>
      <w:r>
        <w:t>obal warming throughout the 21</w:t>
      </w:r>
      <w:r>
        <w:rPr>
          <w:vertAlign w:val="superscript"/>
        </w:rPr>
        <w:t>st</w:t>
      </w:r>
      <w:r>
        <w:t xml:space="preserve"> century in most subaerial volcanic regions, dramatically increasing the potential for rainfall-induced volcanic hazards. This result is based on a comparative analysis of nine general circulation models, and is prevalent ac</w:t>
      </w:r>
      <w:r>
        <w:t>ross a wide range of spatial scales, from countries and volcanic arcs down to individual volcanic systems.  Our results suggest that if global warming continues unchecked, the incidence of primary and secondary rainfall-related volcanic activity will incre</w:t>
      </w:r>
      <w:r>
        <w:t>ase at more than 700 volcanoes around the globe. Improved coupling between scientific observations—in particular, of local and regional precipitation—and policy decisions, may go some way towards mitigating the increased risk throughout the next 80 years.</w:t>
      </w:r>
    </w:p>
    <w:p w14:paraId="56A125D7" w14:textId="77777777" w:rsidR="0055039A" w:rsidRDefault="0055039A"/>
    <w:p w14:paraId="7F3580FE" w14:textId="77777777" w:rsidR="0055039A" w:rsidRDefault="003A5537">
      <w:pPr>
        <w:pBdr>
          <w:top w:val="nil"/>
          <w:left w:val="nil"/>
          <w:bottom w:val="nil"/>
          <w:right w:val="nil"/>
          <w:between w:val="nil"/>
        </w:pBdr>
        <w:spacing w:before="120"/>
        <w:rPr>
          <w:b/>
          <w:sz w:val="24"/>
          <w:szCs w:val="24"/>
        </w:rPr>
      </w:pPr>
      <w:r>
        <w:rPr>
          <w:b/>
          <w:sz w:val="24"/>
          <w:szCs w:val="24"/>
        </w:rPr>
        <w:t xml:space="preserve">Climate change and volcanism </w:t>
      </w:r>
    </w:p>
    <w:p w14:paraId="42A292F3" w14:textId="77777777" w:rsidR="0055039A" w:rsidRDefault="0055039A">
      <w:pPr>
        <w:pBdr>
          <w:top w:val="nil"/>
          <w:left w:val="nil"/>
          <w:bottom w:val="nil"/>
          <w:right w:val="nil"/>
          <w:between w:val="nil"/>
        </w:pBdr>
        <w:spacing w:before="120"/>
        <w:rPr>
          <w:b/>
          <w:sz w:val="24"/>
          <w:szCs w:val="24"/>
        </w:rPr>
      </w:pPr>
    </w:p>
    <w:p w14:paraId="71EC45B9" w14:textId="77777777" w:rsidR="0055039A" w:rsidRDefault="003A5537">
      <w:pPr>
        <w:keepNext/>
      </w:pPr>
      <w:r>
        <w:t>The role of Earth’s subaerial volcanism in driving past climate changes has been substantial (</w:t>
      </w:r>
      <w:proofErr w:type="spellStart"/>
      <w:r>
        <w:t>Schurer</w:t>
      </w:r>
      <w:proofErr w:type="spellEnd"/>
      <w:r>
        <w:t xml:space="preserve"> et al. 2013)—due in large part to the radiative and chemical effects of erupted gases and aerosols (e.g. </w:t>
      </w:r>
      <w:proofErr w:type="spellStart"/>
      <w:r>
        <w:t>Robock</w:t>
      </w:r>
      <w:proofErr w:type="spellEnd"/>
      <w:r>
        <w:t>, 2000)—and</w:t>
      </w:r>
      <w:r>
        <w:t xml:space="preserve"> it is anticipated to drive further variability in the future (Hyde and Crowley, 2000; </w:t>
      </w:r>
      <w:proofErr w:type="spellStart"/>
      <w:r>
        <w:t>Bethke</w:t>
      </w:r>
      <w:proofErr w:type="spellEnd"/>
      <w:r>
        <w:t xml:space="preserve"> et al. 2017). In turn, variations in climate have also been posited to drive volcanic activity (e.g. </w:t>
      </w:r>
      <w:proofErr w:type="spellStart"/>
      <w:r>
        <w:t>Rampino</w:t>
      </w:r>
      <w:proofErr w:type="spellEnd"/>
      <w:r>
        <w:t xml:space="preserve">, Self, and </w:t>
      </w:r>
      <w:proofErr w:type="spellStart"/>
      <w:r>
        <w:t>Fairbridge</w:t>
      </w:r>
      <w:proofErr w:type="spellEnd"/>
      <w:r>
        <w:t xml:space="preserve"> 1979; </w:t>
      </w:r>
      <w:proofErr w:type="spellStart"/>
      <w:r>
        <w:t>Liggins</w:t>
      </w:r>
      <w:proofErr w:type="spellEnd"/>
      <w:r>
        <w:t xml:space="preserve"> et al. 2010; Coop</w:t>
      </w:r>
      <w:r>
        <w:t xml:space="preserve">er et al. 2018). Mechanisms such as the isostatic unloading of the crust due to warming-induced glacial retreat and ice cap melt (e.g. Albino, </w:t>
      </w:r>
      <w:proofErr w:type="spellStart"/>
      <w:r>
        <w:t>Pinel</w:t>
      </w:r>
      <w:proofErr w:type="spellEnd"/>
      <w:r>
        <w:t xml:space="preserve">, &amp; </w:t>
      </w:r>
      <w:proofErr w:type="spellStart"/>
      <w:r>
        <w:t>Sigmundsson</w:t>
      </w:r>
      <w:proofErr w:type="spellEnd"/>
      <w:r>
        <w:t>, 2010; Swindles et al., 2018) or crustal stress changes generated by changing sea levels (e.</w:t>
      </w:r>
      <w:r>
        <w:t xml:space="preserve">g. Bay, Bramall, &amp; Price, 2004) have been proposed to promote volcanic activity over a range of </w:t>
      </w:r>
      <w:proofErr w:type="spellStart"/>
      <w:r>
        <w:t>spatio</w:t>
      </w:r>
      <w:proofErr w:type="spellEnd"/>
      <w:r>
        <w:t xml:space="preserve">-temporal scales. Over the last 30 ka, </w:t>
      </w:r>
      <w:r>
        <w:rPr>
          <w:strike/>
          <w:color w:val="FF00FF"/>
        </w:rPr>
        <w:t>abrupt</w:t>
      </w:r>
      <w:r>
        <w:t xml:space="preserve"> changes in climate have driven an increase in massive volcanic collapses, partly in response to increased humidity and rainfall (Capra 2006). An uptick in rainfall-driven volcanic hazards has been proposed for many volcanic regions as global climate conti</w:t>
      </w:r>
      <w:r>
        <w:t>nues to warm throughout the Anthropocene; in particular, in unglaciated high-relief volcanic environments (</w:t>
      </w:r>
      <w:proofErr w:type="spellStart"/>
      <w:r>
        <w:t>Liggins</w:t>
      </w:r>
      <w:proofErr w:type="spellEnd"/>
      <w:r>
        <w:t xml:space="preserve"> et al. 2010): an observable rate change in hazardous geological phenomena that may already be underway (McGuire 2010). </w:t>
      </w:r>
    </w:p>
    <w:p w14:paraId="103BB50F" w14:textId="77777777" w:rsidR="0055039A" w:rsidRDefault="003A5537">
      <w:pPr>
        <w:keepNext/>
      </w:pPr>
      <w:r>
        <w:t xml:space="preserve"> </w:t>
      </w:r>
    </w:p>
    <w:p w14:paraId="5D9DB4D3" w14:textId="77777777" w:rsidR="0055039A" w:rsidRDefault="003A5537">
      <w:pPr>
        <w:keepNext/>
      </w:pPr>
      <w:r>
        <w:rPr>
          <w:color w:val="FF00FF"/>
        </w:rPr>
        <w:t>Extreme or seasonal</w:t>
      </w:r>
      <w:r>
        <w:rPr>
          <w:color w:val="FF00FF"/>
        </w:rPr>
        <w:t xml:space="preserve"> rainfall has been identified as a trigger mechanism for primary volcanic activity—discrete eruptions of lava, tephra, and gases—at multiple volcanoes. Examples include r</w:t>
      </w:r>
      <w:r>
        <w:t xml:space="preserve">ainfall-triggered </w:t>
      </w:r>
      <w:r>
        <w:rPr>
          <w:color w:val="FF00FF"/>
        </w:rPr>
        <w:t>explosions</w:t>
      </w:r>
      <w:r>
        <w:t xml:space="preserve"> </w:t>
      </w:r>
      <w:r>
        <w:rPr>
          <w:strike/>
        </w:rPr>
        <w:t>explosive activity has been identified at several volcano</w:t>
      </w:r>
      <w:r>
        <w:rPr>
          <w:strike/>
        </w:rPr>
        <w:t>es</w:t>
      </w:r>
      <w:r>
        <w:t xml:space="preserve">  (McKee et al., 1981; </w:t>
      </w:r>
      <w:proofErr w:type="spellStart"/>
      <w:r>
        <w:t>Mastin</w:t>
      </w:r>
      <w:proofErr w:type="spellEnd"/>
      <w:r>
        <w:t xml:space="preserve"> 1994; Voight et al., 2000). Coupling between extreme rainfall events and dome collapse has also frequently been noted (Matthews et al., 2002, 2007; </w:t>
      </w:r>
      <w:proofErr w:type="spellStart"/>
      <w:r>
        <w:t>Carn</w:t>
      </w:r>
      <w:proofErr w:type="spellEnd"/>
      <w:r>
        <w:t xml:space="preserve"> et al., 2004; Matthews and Barclay, 2004; Barclay et al., 2006; Taron e</w:t>
      </w:r>
      <w:r>
        <w:t>t al., 2007; Hicks et al., 2010), with heavy rainfall also being linked to the generation of pyroclastic density currents (Barclay et al. 2006). More recently, a link between extreme rainfall, pore fluid changes at depth, and magma propagation has been pro</w:t>
      </w:r>
      <w:r>
        <w:t xml:space="preserve">posed (Farquharson and </w:t>
      </w:r>
      <w:proofErr w:type="spellStart"/>
      <w:r>
        <w:t>Amelung</w:t>
      </w:r>
      <w:proofErr w:type="spellEnd"/>
      <w:r>
        <w:t xml:space="preserve"> 2020). Rainfall-triggered volcanism </w:t>
      </w:r>
      <w:r>
        <w:lastRenderedPageBreak/>
        <w:t>is often violently explosive (</w:t>
      </w:r>
      <w:proofErr w:type="spellStart"/>
      <w:r>
        <w:t>Mastin</w:t>
      </w:r>
      <w:proofErr w:type="spellEnd"/>
      <w:r>
        <w:t xml:space="preserve"> 1994), and multiple direct fatalities have been recorded as a result, including at </w:t>
      </w:r>
      <w:proofErr w:type="spellStart"/>
      <w:r>
        <w:t>Karkar</w:t>
      </w:r>
      <w:proofErr w:type="spellEnd"/>
      <w:r>
        <w:t xml:space="preserve"> (McKee et al. 1981), </w:t>
      </w:r>
      <w:proofErr w:type="spellStart"/>
      <w:r>
        <w:t>Guagua</w:t>
      </w:r>
      <w:proofErr w:type="spellEnd"/>
      <w:r>
        <w:t xml:space="preserve"> Pichincha (GVP, 1987), and </w:t>
      </w:r>
      <w:proofErr w:type="spellStart"/>
      <w:r>
        <w:t>Karange</w:t>
      </w:r>
      <w:r>
        <w:t>tang</w:t>
      </w:r>
      <w:proofErr w:type="spellEnd"/>
      <w:r>
        <w:t xml:space="preserve"> (GVP 2011) volcanoes (Papua New Guinea, Ecuador, and Indonesia, respectively). </w:t>
      </w:r>
      <w:r>
        <w:t>Many hazards associated with extreme precipitation events or prolonged rainfall are heightened in volcanic regions: not only do mountainous regions tend to modify and ampli</w:t>
      </w:r>
      <w:r>
        <w:t>fy precipitation (</w:t>
      </w:r>
      <w:proofErr w:type="spellStart"/>
      <w:r>
        <w:t>Lagmay</w:t>
      </w:r>
      <w:proofErr w:type="spellEnd"/>
      <w:r>
        <w:t xml:space="preserve"> et al., 2015), but they are often mantled by variably consolidated tephra deposits and other easily </w:t>
      </w:r>
      <w:proofErr w:type="spellStart"/>
      <w:r>
        <w:t>mobilised</w:t>
      </w:r>
      <w:proofErr w:type="spellEnd"/>
      <w:r>
        <w:t xml:space="preserve"> debris, and can be associated with large thermal gradients. </w:t>
      </w:r>
      <w:r>
        <w:rPr>
          <w:color w:val="FF00FF"/>
        </w:rPr>
        <w:t>T</w:t>
      </w:r>
      <w:r>
        <w:rPr>
          <w:color w:val="FF00FF"/>
        </w:rPr>
        <w:t>hese gradients drive explosive fuel-coolant interactions (Ne</w:t>
      </w:r>
      <w:r>
        <w:rPr>
          <w:color w:val="FF00FF"/>
        </w:rPr>
        <w:t xml:space="preserve">meth and </w:t>
      </w:r>
      <w:proofErr w:type="spellStart"/>
      <w:r>
        <w:rPr>
          <w:color w:val="FF00FF"/>
        </w:rPr>
        <w:t>Kosik</w:t>
      </w:r>
      <w:proofErr w:type="spellEnd"/>
      <w:r>
        <w:rPr>
          <w:color w:val="FF00FF"/>
        </w:rPr>
        <w:t xml:space="preserve"> 2020), </w:t>
      </w:r>
      <w:r>
        <w:rPr>
          <w:color w:val="FF00FF"/>
        </w:rPr>
        <w:t>and</w:t>
      </w:r>
      <w:r>
        <w:rPr>
          <w:color w:val="FF00FF"/>
        </w:rPr>
        <w:t xml:space="preserve">  thermal atmospheric forcing due volcanic thermal anomalies can also increase precipitation above the threshold required to trigger hazards (</w:t>
      </w:r>
      <w:proofErr w:type="spellStart"/>
      <w:r>
        <w:rPr>
          <w:color w:val="FF00FF"/>
        </w:rPr>
        <w:t>Poulidis</w:t>
      </w:r>
      <w:proofErr w:type="spellEnd"/>
      <w:r>
        <w:rPr>
          <w:color w:val="FF00FF"/>
        </w:rPr>
        <w:t xml:space="preserve"> 2016).</w:t>
      </w:r>
      <w:r>
        <w:t xml:space="preserve"> These factors promote a range of rainfall-related secondary volcanic haza</w:t>
      </w:r>
      <w:r>
        <w:t xml:space="preserve">rds, including the </w:t>
      </w:r>
      <w:proofErr w:type="spellStart"/>
      <w:r>
        <w:t>remobilisation</w:t>
      </w:r>
      <w:proofErr w:type="spellEnd"/>
      <w:r>
        <w:t xml:space="preserve"> of volcanogenic deposits in the form of lahars (e.g. </w:t>
      </w:r>
      <w:proofErr w:type="spellStart"/>
      <w:r>
        <w:t>Paguican</w:t>
      </w:r>
      <w:proofErr w:type="spellEnd"/>
      <w:r>
        <w:t xml:space="preserve"> et al., 2009; Capra et al., 2010; Kataoka et al., 2018; Baumann et al. 2019) and the instigation of flank mass movement (e.g. </w:t>
      </w:r>
      <w:proofErr w:type="spellStart"/>
      <w:r>
        <w:t>Ayonghe</w:t>
      </w:r>
      <w:proofErr w:type="spellEnd"/>
      <w:r>
        <w:t xml:space="preserve"> et al., 2004; Marques et a</w:t>
      </w:r>
      <w:r>
        <w:t xml:space="preserve">l., 2008; </w:t>
      </w:r>
      <w:proofErr w:type="spellStart"/>
      <w:r>
        <w:t>Eichenberger</w:t>
      </w:r>
      <w:proofErr w:type="spellEnd"/>
      <w:r>
        <w:t xml:space="preserve"> et al., 2013; </w:t>
      </w:r>
      <w:proofErr w:type="spellStart"/>
      <w:r>
        <w:t>Towhata</w:t>
      </w:r>
      <w:proofErr w:type="spellEnd"/>
      <w:r>
        <w:t xml:space="preserve">, 2016; Baumann et al. 2019), a phenomenon that can in turn unload the magma chamber and promote explosive decompression or dyke initiation (e.g. </w:t>
      </w:r>
      <w:proofErr w:type="spellStart"/>
      <w:r>
        <w:t>Manconi</w:t>
      </w:r>
      <w:proofErr w:type="spellEnd"/>
      <w:r>
        <w:t xml:space="preserve"> et al., 2009). Volcanic slopes, typically with low cohesio</w:t>
      </w:r>
      <w:r>
        <w:t>n and narrow grain-size distributions, may be particularly disposed to mass wasting events (</w:t>
      </w:r>
      <w:proofErr w:type="spellStart"/>
      <w:r>
        <w:t>Eichenberger</w:t>
      </w:r>
      <w:proofErr w:type="spellEnd"/>
      <w:r>
        <w:t>, 2013). A textual analysis of the Smithsonian’s Global Volcanism Program Bulletin Reports—a multidecadal catalogue of reports of volcanic activity—reve</w:t>
      </w:r>
      <w:r>
        <w:t xml:space="preserve">als that extreme or heavy rainfall has been implicated in triggering or exacerbating hazards at </w:t>
      </w:r>
      <w:proofErr w:type="spellStart"/>
      <w:r>
        <w:t>at</w:t>
      </w:r>
      <w:proofErr w:type="spellEnd"/>
      <w:r>
        <w:t xml:space="preserve"> least 174 discrete volcanoes: around 13 % or 1 in every 7 of Earth’s subaerial volcanic inventory (see </w:t>
      </w:r>
      <w:r>
        <w:rPr>
          <w:b/>
        </w:rPr>
        <w:t>Methods</w:t>
      </w:r>
      <w:r>
        <w:t>).</w:t>
      </w:r>
    </w:p>
    <w:p w14:paraId="062EDB39" w14:textId="77777777" w:rsidR="0055039A" w:rsidRDefault="003A5537">
      <w:pPr>
        <w:keepNext/>
      </w:pPr>
      <w:r>
        <w:t xml:space="preserve"> </w:t>
      </w:r>
    </w:p>
    <w:p w14:paraId="4E9CC1A5" w14:textId="77777777" w:rsidR="0055039A" w:rsidRDefault="003A5537">
      <w:pPr>
        <w:keepNext/>
      </w:pPr>
      <w:r>
        <w:t xml:space="preserve"> As the rate of global climate change cont</w:t>
      </w:r>
      <w:r>
        <w:t>inues to accelerate, it becomes ever more crucial to develop a comprehensive understanding of the manifold interactions and feedbacks between the atmosphere, cryosphere, and solid Earth: complexly interconnected components of the Earth system. Here we focu</w:t>
      </w:r>
      <w:r>
        <w:t>s on the role of heavy rainfall in volcanic environments, and the evolution of rainfall rates over a multi-decadal timeframe induced by the ongoing rapid changes in global climate.  A key problem with identifying volcanic regions at increasing risk has bee</w:t>
      </w:r>
      <w:r>
        <w:t>n the inherent uncertainty of climate modelling (</w:t>
      </w:r>
      <w:proofErr w:type="spellStart"/>
      <w:r>
        <w:t>Liggins</w:t>
      </w:r>
      <w:proofErr w:type="spellEnd"/>
      <w:r>
        <w:t xml:space="preserve"> et al. 2010). While there is broad consensus as to the direction of mean global precipitation change  (e.g. Tebaldi et al., 2006; Min et al., 2011), global climate models (general circulation models:</w:t>
      </w:r>
      <w:r>
        <w:t xml:space="preserve"> GCMs)—even when initiated with the same parameters—do not show general concurrence upon the </w:t>
      </w:r>
      <w:commentRangeStart w:id="1"/>
      <w:commentRangeStart w:id="2"/>
      <w:r>
        <w:t>magnitude or spatial distribution of precipitation change</w:t>
      </w:r>
      <w:commentRangeEnd w:id="1"/>
      <w:r>
        <w:commentReference w:id="1"/>
      </w:r>
      <w:commentRangeEnd w:id="2"/>
      <w:r>
        <w:commentReference w:id="2"/>
      </w:r>
      <w:r>
        <w:t>, and observations of global mean precipitation changes are at often odds with projected changes (e.</w:t>
      </w:r>
      <w:r>
        <w:t>g. Gu and Adler 2015). Consistently, however, these models project an increase in the intensity and frequency of heavy precipitation—that is, extreme precipitation events—both on global and regional scales (Collins et al., 2013). Fischer et al., (2014) and</w:t>
      </w:r>
      <w:r>
        <w:t xml:space="preserve"> </w:t>
      </w:r>
      <w:proofErr w:type="spellStart"/>
      <w:r>
        <w:t>Pfahl</w:t>
      </w:r>
      <w:proofErr w:type="spellEnd"/>
      <w:r>
        <w:t xml:space="preserve"> et al., (2017) demonstrate that global climate models tend to concur when considering future heavy precipitation. In particular, those authors found that most models tested in their analysis agreed on the sign of change of the diurnal maximum precip</w:t>
      </w:r>
      <w:r>
        <w:t>itation over time at any given location.</w:t>
      </w:r>
    </w:p>
    <w:p w14:paraId="6EBDA9A9" w14:textId="77777777" w:rsidR="0055039A" w:rsidRDefault="003A5537">
      <w:pPr>
        <w:keepNext/>
      </w:pPr>
      <w:r>
        <w:t xml:space="preserve"> </w:t>
      </w:r>
    </w:p>
    <w:p w14:paraId="7D22A69C" w14:textId="77777777" w:rsidR="0055039A" w:rsidRDefault="003A5537">
      <w:pPr>
        <w:keepNext/>
      </w:pPr>
      <w:r>
        <w:t xml:space="preserve">In this contribution, we </w:t>
      </w:r>
      <w:proofErr w:type="spellStart"/>
      <w:r>
        <w:t>analyse</w:t>
      </w:r>
      <w:proofErr w:type="spellEnd"/>
      <w:r>
        <w:t xml:space="preserve"> a suite of numerical global climate models to assess which of Earth’s subaerial volcanoes are projected to experience increases or decreases in extreme rainfall, revealing several </w:t>
      </w:r>
      <w:r>
        <w:t xml:space="preserve">volcanic systems which we estimate will become more susceptible to rainfall-induced hazards over the next 80 years. In particular we focus on the </w:t>
      </w:r>
      <w:r>
        <w:rPr>
          <w:color w:val="FF00FF"/>
        </w:rPr>
        <w:t>forced</w:t>
      </w:r>
      <w:r>
        <w:rPr>
          <w:color w:val="FF00FF"/>
        </w:rPr>
        <w:t xml:space="preserve"> model response (FMR)</w:t>
      </w:r>
      <w:r>
        <w:rPr>
          <w:color w:val="FF00FF"/>
        </w:rPr>
        <w:t xml:space="preserve">, the </w:t>
      </w:r>
      <w:r>
        <w:t xml:space="preserve">percentage change of heavy precipitation for a given unit of global warming, </w:t>
      </w:r>
      <w:r>
        <w:t xml:space="preserve">which serves as a proxy for the likelihood of extreme rainfall events, calculated from </w:t>
      </w:r>
      <w:r>
        <w:lastRenderedPageBreak/>
        <w:t xml:space="preserve">nine Coupled Model </w:t>
      </w:r>
      <w:proofErr w:type="spellStart"/>
      <w:r>
        <w:t>Intercomparison</w:t>
      </w:r>
      <w:proofErr w:type="spellEnd"/>
      <w:r>
        <w:t xml:space="preserve"> Project Phase 5 (CMIP5) general circulation models (</w:t>
      </w:r>
      <w:r>
        <w:rPr>
          <w:b/>
        </w:rPr>
        <w:t>Methods</w:t>
      </w:r>
      <w:r>
        <w:t xml:space="preserve">). </w:t>
      </w:r>
    </w:p>
    <w:p w14:paraId="355EB65E" w14:textId="77777777" w:rsidR="0055039A" w:rsidRDefault="003A5537">
      <w:pPr>
        <w:pStyle w:val="Heading4"/>
        <w:spacing w:after="120"/>
      </w:pPr>
      <w:bookmarkStart w:id="3" w:name="_bl32ght2tbze" w:colFirst="0" w:colLast="0"/>
      <w:bookmarkEnd w:id="3"/>
      <w:r>
        <w:t>Climate models agree on the direction of heavy precipitation change wit</w:t>
      </w:r>
      <w:r>
        <w:t>h global warming</w:t>
      </w:r>
    </w:p>
    <w:p w14:paraId="0D870C31" w14:textId="77777777" w:rsidR="0055039A" w:rsidRDefault="003A5537">
      <w:pPr>
        <w:keepNext/>
        <w:spacing w:before="240" w:after="120"/>
        <w:ind w:firstLine="720"/>
      </w:pPr>
      <w:r>
        <w:t xml:space="preserve">Calculate forced model responses from the individual CMIP5 general circulation models are shown in </w:t>
      </w:r>
      <w:r>
        <w:rPr>
          <w:b/>
        </w:rPr>
        <w:t>Figure 1</w:t>
      </w:r>
      <w:r>
        <w:t xml:space="preserve">, presented in % </w:t>
      </w:r>
      <w:r>
        <w:rPr>
          <w:color w:val="FF00FF"/>
        </w:rPr>
        <w:t>C</w:t>
      </w:r>
      <w:r>
        <w:rPr>
          <w:vertAlign w:val="superscript"/>
        </w:rPr>
        <w:t>-1</w:t>
      </w:r>
      <w:r>
        <w:t xml:space="preserve"> as the gradient of a regression between monthly heavy precipitation change </w:t>
      </w:r>
      <w:r>
        <w:rPr>
          <w:i/>
        </w:rPr>
        <w:t>RX</w:t>
      </w:r>
      <w:r>
        <w:t xml:space="preserve"> and global mean temperature </w:t>
      </w:r>
      <w:r>
        <w:t>〈</w:t>
      </w:r>
      <w:r>
        <w:t>T</w:t>
      </w:r>
      <w:r>
        <w:t>〉</w:t>
      </w:r>
      <w:r>
        <w:t xml:space="preserve">. </w:t>
      </w:r>
      <w:r>
        <w:t>There is qualitative agreement in many areas across models (</w:t>
      </w:r>
      <w:r>
        <w:rPr>
          <w:b/>
        </w:rPr>
        <w:t>Figure 1</w:t>
      </w:r>
      <w:r>
        <w:t>): less extreme rainfall is forecast by most models for the majority of Australia, parts of Saharan and southern Africa, and Central America, for example, whereas large portions of North America, Eurasia, East Africa, and the Polar regions are projected to</w:t>
      </w:r>
      <w:r>
        <w:t xml:space="preserve"> experience an increase in extreme precipitation with continued global warming. This is </w:t>
      </w:r>
      <w:proofErr w:type="spellStart"/>
      <w:r>
        <w:t>emphasised</w:t>
      </w:r>
      <w:proofErr w:type="spellEnd"/>
      <w:r>
        <w:t xml:space="preserve"> </w:t>
      </w:r>
      <w:r>
        <w:t xml:space="preserve">by the </w:t>
      </w:r>
      <w:r>
        <w:t xml:space="preserve">mean response of all models resized onto a common grid </w:t>
      </w:r>
      <w:r>
        <w:t>(</w:t>
      </w:r>
      <w:r>
        <w:rPr>
          <w:b/>
          <w:color w:val="FF0000"/>
        </w:rPr>
        <w:t>Figure 2a</w:t>
      </w:r>
      <w:r>
        <w:rPr>
          <w:color w:val="FF0000"/>
        </w:rPr>
        <w:t>)</w:t>
      </w:r>
      <w:r>
        <w:t>. The areas where fewer than seven of nine models agree on the sign of FMR are shade</w:t>
      </w:r>
      <w:r>
        <w:t xml:space="preserve">d. The area over which at least seven of nine models concur accounts for 73.45 % of the globe, in line with previous multi-model studies (Fischer et al., 2014; </w:t>
      </w:r>
      <w:proofErr w:type="spellStart"/>
      <w:r>
        <w:t>Pfahl</w:t>
      </w:r>
      <w:proofErr w:type="spellEnd"/>
      <w:r>
        <w:t xml:space="preserve"> et al., 2017), despite the fact that the cited studies examine models at a daily resolutio</w:t>
      </w:r>
      <w:r>
        <w:t xml:space="preserve">n over longer timescales (including historical simulations) and </w:t>
      </w:r>
      <w:proofErr w:type="spellStart"/>
      <w:r>
        <w:t>analy</w:t>
      </w:r>
      <w:r>
        <w:t>s</w:t>
      </w:r>
      <w:r>
        <w:t>e</w:t>
      </w:r>
      <w:proofErr w:type="spellEnd"/>
      <w:r>
        <w:t xml:space="preserve"> more models (15 and 22, respectively). As well as the proportion of model agreement, we highlight that the areas of agreement are qualitatively similar to those of Fischer et al., (201</w:t>
      </w:r>
      <w:r>
        <w:t xml:space="preserve">4) and </w:t>
      </w:r>
      <w:proofErr w:type="spellStart"/>
      <w:r>
        <w:t>Pfahl</w:t>
      </w:r>
      <w:proofErr w:type="spellEnd"/>
      <w:r>
        <w:t xml:space="preserve"> et al., (2017). In a volcanic context, regions where extreme rainfall is projected to increase account for large portions of each of the continental volcanic arcs (the Cascades, the Alaskan Peninsula and Aleutian Range, Kamchatka, and Northern</w:t>
      </w:r>
      <w:r>
        <w:t xml:space="preserve"> and Central Andes), parts of the </w:t>
      </w:r>
      <w:proofErr w:type="spellStart"/>
      <w:r>
        <w:t>the</w:t>
      </w:r>
      <w:proofErr w:type="spellEnd"/>
      <w:r>
        <w:t xml:space="preserve"> Mediterranean and East African Rift system, and throughout the </w:t>
      </w:r>
      <w:proofErr w:type="spellStart"/>
      <w:r>
        <w:t>Sunda</w:t>
      </w:r>
      <w:proofErr w:type="spellEnd"/>
      <w:r>
        <w:t xml:space="preserve">, Philippine, </w:t>
      </w:r>
      <w:proofErr w:type="spellStart"/>
      <w:r>
        <w:t>Ryuku</w:t>
      </w:r>
      <w:proofErr w:type="spellEnd"/>
      <w:r>
        <w:t xml:space="preserve">, Japan, Kuril, </w:t>
      </w:r>
      <w:proofErr w:type="spellStart"/>
      <w:r>
        <w:t>Aleutianand</w:t>
      </w:r>
      <w:proofErr w:type="spellEnd"/>
      <w:r>
        <w:t xml:space="preserve"> West Indies island arcs. Smaller subtropical island arcs, including the Bismarck Archipelago are also e</w:t>
      </w:r>
      <w:r>
        <w:t xml:space="preserve">ncompassed. On the other hand, models tend to agree that extreme rainfall will decrease in parts of the Southern Andean Volcanic Zone and </w:t>
      </w:r>
      <w:proofErr w:type="spellStart"/>
      <w:r>
        <w:t>Rangitāhua</w:t>
      </w:r>
      <w:proofErr w:type="spellEnd"/>
      <w:r>
        <w:t xml:space="preserve"> (the </w:t>
      </w:r>
      <w:proofErr w:type="spellStart"/>
      <w:r>
        <w:t>Kermadec</w:t>
      </w:r>
      <w:proofErr w:type="spellEnd"/>
      <w:r>
        <w:t xml:space="preserve"> Islands), for example.</w:t>
      </w:r>
    </w:p>
    <w:p w14:paraId="10EB77B0" w14:textId="77777777" w:rsidR="0055039A" w:rsidRDefault="003A5537">
      <w:pPr>
        <w:ind w:firstLine="720"/>
        <w:rPr>
          <w:b/>
        </w:rPr>
      </w:pPr>
      <w:r>
        <w:t>Of the 1296 Holocene-active subaerial volcanic systems included in the</w:t>
      </w:r>
      <w:r>
        <w:t xml:space="preserve"> initial dataset, 768 (59 %) are situated in regions with a positive FMR (i.e. regions that are forecast to experience more extreme rainfall over the next 80 years) across the majority of GCMs (</w:t>
      </w:r>
      <w:r>
        <w:rPr>
          <w:b/>
        </w:rPr>
        <w:t>Figure 2b</w:t>
      </w:r>
      <w:r>
        <w:t xml:space="preserve">). 244 of these (19 % of the initial dataset) have a </w:t>
      </w:r>
      <w:r>
        <w:t xml:space="preserve">mean (averaged over all models) FMR </w:t>
      </w:r>
      <m:oMath>
        <m:r>
          <w:rPr>
            <w:rFonts w:ascii="Cambria Math" w:hAnsi="Cambria Math"/>
          </w:rPr>
          <m:t>≥</m:t>
        </m:r>
      </m:oMath>
      <w:r>
        <w:t xml:space="preserve">5 % </w:t>
      </w:r>
      <w:r>
        <w:rPr>
          <w:color w:val="FF00FF"/>
        </w:rPr>
        <w:t>C</w:t>
      </w:r>
      <w:r>
        <w:rPr>
          <w:vertAlign w:val="superscript"/>
        </w:rPr>
        <w:t>-1</w:t>
      </w:r>
      <w:r>
        <w:t xml:space="preserve">. Nineteen volcanoes (1.5 %) exhibit a mean FMR </w:t>
      </w:r>
      <m:oMath>
        <m:r>
          <w:rPr>
            <w:rFonts w:ascii="Cambria Math" w:hAnsi="Cambria Math"/>
          </w:rPr>
          <m:t>≥</m:t>
        </m:r>
      </m:oMath>
      <w:r>
        <w:t xml:space="preserve">20 % </w:t>
      </w:r>
      <w:r>
        <w:rPr>
          <w:color w:val="FF00FF"/>
        </w:rPr>
        <w:t>C</w:t>
      </w:r>
      <w:r>
        <w:rPr>
          <w:vertAlign w:val="superscript"/>
        </w:rPr>
        <w:t>-1</w:t>
      </w:r>
      <w:r>
        <w:t xml:space="preserve">, all of which are located in the Galápagos, the East African Rift, and Papua New Guinea, between 3.125°S and 25.000°N. Highlighted in </w:t>
      </w:r>
      <w:r>
        <w:rPr>
          <w:b/>
        </w:rPr>
        <w:t>Figure 2b</w:t>
      </w:r>
      <w:r>
        <w:t xml:space="preserve">, only 112 </w:t>
      </w:r>
      <w:r>
        <w:t>volcanoes (9 %) are located in regions anticipated to experience less extreme rainfall, with the remaining 416 (32 %) being associated with an ambiguous FMR (where fewer than 7 of the 9 models agreed with the sign of heavy precipitation change). The aggreg</w:t>
      </w:r>
      <w:r>
        <w:t xml:space="preserve">ate FMR distribution of each of the models is approximately symmetrical around a median of 3.2 % </w:t>
      </w:r>
      <w:r>
        <w:rPr>
          <w:color w:val="FF00FF"/>
        </w:rPr>
        <w:t>C</w:t>
      </w:r>
      <w:r>
        <w:rPr>
          <w:vertAlign w:val="superscript"/>
        </w:rPr>
        <w:t>-1</w:t>
      </w:r>
      <w:r>
        <w:t>, indicating that the majority of the globe is projected to experience an increase in extreme rainfall. When we consider only those grid cells containing ac</w:t>
      </w:r>
      <w:r>
        <w:t>tive volcanic systems (</w:t>
      </w:r>
      <w:r>
        <w:rPr>
          <w:b/>
        </w:rPr>
        <w:t>Figure 2c</w:t>
      </w:r>
      <w:r>
        <w:t xml:space="preserve">), we observe a lognormal distribution of volcanoes with positive FMR, with a mean  value of ~4.5  % </w:t>
      </w:r>
      <w:r>
        <w:rPr>
          <w:color w:val="FF00FF"/>
        </w:rPr>
        <w:t>C</w:t>
      </w:r>
      <w:r>
        <w:rPr>
          <w:vertAlign w:val="superscript"/>
        </w:rPr>
        <w:t>-1</w:t>
      </w:r>
      <w:r>
        <w:t xml:space="preserve"> and a long tail on the positive side: the substantive majority of Earth’s subaerial volcanic systems will be subject to</w:t>
      </w:r>
      <w:r>
        <w:t xml:space="preserve"> more extreme rainfall with every increment of global warming over the remainder of the 21</w:t>
      </w:r>
      <w:r>
        <w:rPr>
          <w:vertAlign w:val="superscript"/>
        </w:rPr>
        <w:t>st</w:t>
      </w:r>
      <w:r>
        <w:t xml:space="preserve"> century.   </w:t>
      </w:r>
      <w:r>
        <w:rPr>
          <w:b/>
          <w:noProof/>
        </w:rPr>
        <w:lastRenderedPageBreak/>
        <w:drawing>
          <wp:inline distT="114300" distB="114300" distL="114300" distR="114300" wp14:anchorId="714F95FE" wp14:editId="153A3633">
            <wp:extent cx="5943600" cy="3606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606800"/>
                    </a:xfrm>
                    <a:prstGeom prst="rect">
                      <a:avLst/>
                    </a:prstGeom>
                    <a:ln/>
                  </pic:spPr>
                </pic:pic>
              </a:graphicData>
            </a:graphic>
          </wp:inline>
        </w:drawing>
      </w:r>
      <w:r>
        <w:rPr>
          <w:rFonts w:ascii="Calibri" w:eastAsia="Calibri" w:hAnsi="Calibri" w:cs="Calibri"/>
          <w:b/>
        </w:rPr>
        <w:t xml:space="preserve">Figure 1 | Forced model response for all compared models. </w:t>
      </w:r>
      <w:r>
        <w:rPr>
          <w:rFonts w:ascii="Calibri" w:eastAsia="Calibri" w:hAnsi="Calibri" w:cs="Calibri"/>
        </w:rPr>
        <w:t xml:space="preserve">GCM codes (as listed in Table 1, </w:t>
      </w:r>
      <w:r>
        <w:rPr>
          <w:rFonts w:ascii="Calibri" w:eastAsia="Calibri" w:hAnsi="Calibri" w:cs="Calibri"/>
          <w:b/>
        </w:rPr>
        <w:t>Methods</w:t>
      </w:r>
      <w:r>
        <w:rPr>
          <w:rFonts w:ascii="Calibri" w:eastAsia="Calibri" w:hAnsi="Calibri" w:cs="Calibri"/>
        </w:rPr>
        <w:t>) are shown above the corresponding map. Forced model</w:t>
      </w:r>
      <w:r>
        <w:rPr>
          <w:rFonts w:ascii="Calibri" w:eastAsia="Calibri" w:hAnsi="Calibri" w:cs="Calibri"/>
        </w:rPr>
        <w:t xml:space="preserve"> response (FMR) as </w:t>
      </w:r>
      <w:r>
        <w:rPr>
          <w:rFonts w:ascii="Calibri" w:eastAsia="Calibri" w:hAnsi="Calibri" w:cs="Calibri"/>
          <w:b/>
        </w:rPr>
        <w:t xml:space="preserve"> </w:t>
      </w:r>
      <w:r>
        <w:rPr>
          <w:rFonts w:ascii="Calibri" w:eastAsia="Calibri" w:hAnsi="Calibri" w:cs="Calibri"/>
          <w:i/>
        </w:rPr>
        <w:t xml:space="preserve">RX </w:t>
      </w:r>
      <w:r>
        <w:rPr>
          <w:rFonts w:ascii="Calibri" w:eastAsia="Calibri" w:hAnsi="Calibri" w:cs="Calibri"/>
        </w:rPr>
        <w:t>versus</w:t>
      </w:r>
      <w:r>
        <w:rPr>
          <w:rFonts w:ascii="Calibri" w:eastAsia="Calibri" w:hAnsi="Calibri" w:cs="Calibri"/>
          <w:b/>
        </w:rPr>
        <w:t xml:space="preserve"> </w:t>
      </w:r>
      <w:r>
        <w:rPr>
          <w:rFonts w:ascii="Calibri" w:eastAsia="Calibri" w:hAnsi="Calibri" w:cs="Calibri"/>
        </w:rPr>
        <w:t>〈</w:t>
      </w:r>
      <w:r>
        <w:rPr>
          <w:rFonts w:ascii="Calibri" w:eastAsia="Calibri" w:hAnsi="Calibri" w:cs="Calibri"/>
          <w:i/>
        </w:rPr>
        <w:t>T</w:t>
      </w:r>
      <w:r>
        <w:rPr>
          <w:rFonts w:ascii="Calibri" w:eastAsia="Calibri" w:hAnsi="Calibri" w:cs="Calibri"/>
        </w:rPr>
        <w:t>〉</w:t>
      </w:r>
      <w:r>
        <w:rPr>
          <w:rFonts w:ascii="Calibri" w:eastAsia="Calibri" w:hAnsi="Calibri" w:cs="Calibri"/>
          <w:b/>
        </w:rPr>
        <w:t xml:space="preserve"> </w:t>
      </w:r>
      <w:r>
        <w:rPr>
          <w:rFonts w:ascii="Calibri" w:eastAsia="Calibri" w:hAnsi="Calibri" w:cs="Calibri"/>
        </w:rPr>
        <w:t xml:space="preserve">over the timeframe from 2005 or 2006 to 2100, </w:t>
      </w:r>
      <w:proofErr w:type="spellStart"/>
      <w:r>
        <w:rPr>
          <w:rFonts w:ascii="Calibri" w:eastAsia="Calibri" w:hAnsi="Calibri" w:cs="Calibri"/>
        </w:rPr>
        <w:t>normalised</w:t>
      </w:r>
      <w:proofErr w:type="spellEnd"/>
      <w:r>
        <w:rPr>
          <w:rFonts w:ascii="Calibri" w:eastAsia="Calibri" w:hAnsi="Calibri" w:cs="Calibri"/>
        </w:rPr>
        <w:t xml:space="preserve"> to 2006. Blue tones represent an increase in extreme rainfall with increased global warming, red tones represent a decrease.</w:t>
      </w:r>
    </w:p>
    <w:p w14:paraId="345B6425" w14:textId="77777777" w:rsidR="0055039A" w:rsidRDefault="003A5537">
      <w:pPr>
        <w:keepNext/>
        <w:spacing w:before="240" w:after="120"/>
        <w:jc w:val="center"/>
        <w:rPr>
          <w:sz w:val="24"/>
          <w:szCs w:val="24"/>
        </w:rPr>
      </w:pPr>
      <w:r>
        <w:rPr>
          <w:noProof/>
          <w:sz w:val="24"/>
          <w:szCs w:val="24"/>
        </w:rPr>
        <w:lastRenderedPageBreak/>
        <w:drawing>
          <wp:inline distT="114300" distB="114300" distL="114300" distR="114300" wp14:anchorId="753DFEFE" wp14:editId="666C4684">
            <wp:extent cx="5943600" cy="3962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14:paraId="311DA4AD" w14:textId="77777777" w:rsidR="0055039A" w:rsidRDefault="003A5537">
      <w:pPr>
        <w:jc w:val="both"/>
        <w:rPr>
          <w:rFonts w:ascii="Calibri" w:eastAsia="Calibri" w:hAnsi="Calibri" w:cs="Calibri"/>
        </w:rPr>
      </w:pPr>
      <w:r>
        <w:rPr>
          <w:rFonts w:ascii="Calibri" w:eastAsia="Calibri" w:hAnsi="Calibri" w:cs="Calibri"/>
          <w:b/>
        </w:rPr>
        <w:t xml:space="preserve">Figure 2 | Breakdown of mean </w:t>
      </w:r>
      <w:r>
        <w:rPr>
          <w:rFonts w:ascii="Calibri" w:eastAsia="Calibri" w:hAnsi="Calibri" w:cs="Calibri"/>
          <w:b/>
          <w:sz w:val="24"/>
          <w:szCs w:val="24"/>
        </w:rPr>
        <w:t>forced model response. a</w:t>
      </w:r>
      <w:r>
        <w:rPr>
          <w:rFonts w:ascii="Calibri" w:eastAsia="Calibri" w:hAnsi="Calibri" w:cs="Calibri"/>
          <w:sz w:val="24"/>
          <w:szCs w:val="24"/>
        </w:rPr>
        <w:t xml:space="preserve"> Global mean forced model response (FMR) calculated from all models. Shaded area indicates those regions where fewer than seven of nine models agreed on the sign of change (26.55 %). </w:t>
      </w:r>
      <w:r>
        <w:rPr>
          <w:rFonts w:ascii="Calibri" w:eastAsia="Calibri" w:hAnsi="Calibri" w:cs="Calibri"/>
          <w:b/>
          <w:sz w:val="24"/>
          <w:szCs w:val="24"/>
        </w:rPr>
        <w:t xml:space="preserve">b </w:t>
      </w:r>
      <w:r>
        <w:rPr>
          <w:rFonts w:ascii="Calibri" w:eastAsia="Calibri" w:hAnsi="Calibri" w:cs="Calibri"/>
          <w:sz w:val="24"/>
          <w:szCs w:val="24"/>
        </w:rPr>
        <w:t>Subaerial volcano geolocations separated accord</w:t>
      </w:r>
      <w:r>
        <w:rPr>
          <w:rFonts w:ascii="Calibri" w:eastAsia="Calibri" w:hAnsi="Calibri" w:cs="Calibri"/>
          <w:sz w:val="24"/>
          <w:szCs w:val="24"/>
        </w:rPr>
        <w:t>ing to whether models agree on a decrease in heavy precipitation with increased warming (red;</w:t>
      </w:r>
      <w:r>
        <w:rPr>
          <w:rFonts w:ascii="Calibri" w:eastAsia="Calibri" w:hAnsi="Calibri" w:cs="Calibri"/>
          <w:strike/>
          <w:sz w:val="24"/>
          <w:szCs w:val="24"/>
        </w:rPr>
        <w:t xml:space="preserve">: “neg”: </w:t>
      </w:r>
      <w:r>
        <w:rPr>
          <w:rFonts w:ascii="Calibri" w:eastAsia="Calibri" w:hAnsi="Calibri" w:cs="Calibri"/>
          <w:i/>
          <w:sz w:val="24"/>
          <w:szCs w:val="24"/>
        </w:rPr>
        <w:t>n</w:t>
      </w:r>
      <w:r>
        <w:rPr>
          <w:rFonts w:ascii="Calibri" w:eastAsia="Calibri" w:hAnsi="Calibri" w:cs="Calibri"/>
          <w:sz w:val="24"/>
          <w:szCs w:val="24"/>
        </w:rPr>
        <w:t xml:space="preserve"> = 112); the precipitation response is ambiguous due to lack of model agreement (black; </w:t>
      </w:r>
      <w:r>
        <w:rPr>
          <w:rFonts w:ascii="Calibri" w:eastAsia="Calibri" w:hAnsi="Calibri" w:cs="Calibri"/>
          <w:i/>
          <w:sz w:val="24"/>
          <w:szCs w:val="24"/>
        </w:rPr>
        <w:t>n</w:t>
      </w:r>
      <w:r>
        <w:rPr>
          <w:rFonts w:ascii="Calibri" w:eastAsia="Calibri" w:hAnsi="Calibri" w:cs="Calibri"/>
          <w:sz w:val="24"/>
          <w:szCs w:val="24"/>
        </w:rPr>
        <w:t xml:space="preserve"> = 415</w:t>
      </w:r>
      <w:r>
        <w:rPr>
          <w:rFonts w:ascii="Calibri" w:eastAsia="Calibri" w:hAnsi="Calibri" w:cs="Calibri"/>
          <w:strike/>
          <w:sz w:val="24"/>
          <w:szCs w:val="24"/>
        </w:rPr>
        <w:t>: “</w:t>
      </w:r>
      <w:proofErr w:type="spellStart"/>
      <w:r>
        <w:rPr>
          <w:rFonts w:ascii="Calibri" w:eastAsia="Calibri" w:hAnsi="Calibri" w:cs="Calibri"/>
          <w:strike/>
          <w:sz w:val="24"/>
          <w:szCs w:val="24"/>
        </w:rPr>
        <w:t>amb</w:t>
      </w:r>
      <w:proofErr w:type="spellEnd"/>
      <w:r>
        <w:rPr>
          <w:rFonts w:ascii="Calibri" w:eastAsia="Calibri" w:hAnsi="Calibri" w:cs="Calibri"/>
          <w:strike/>
          <w:sz w:val="24"/>
          <w:szCs w:val="24"/>
        </w:rPr>
        <w:t>”</w:t>
      </w:r>
      <w:r>
        <w:rPr>
          <w:rFonts w:ascii="Calibri" w:eastAsia="Calibri" w:hAnsi="Calibri" w:cs="Calibri"/>
          <w:sz w:val="24"/>
          <w:szCs w:val="24"/>
        </w:rPr>
        <w:t>); models agree on an increase in heavy precipitati</w:t>
      </w:r>
      <w:r>
        <w:rPr>
          <w:rFonts w:ascii="Calibri" w:eastAsia="Calibri" w:hAnsi="Calibri" w:cs="Calibri"/>
          <w:sz w:val="24"/>
          <w:szCs w:val="24"/>
        </w:rPr>
        <w:t xml:space="preserve">on with increased warming (blue; </w:t>
      </w:r>
      <w:r>
        <w:rPr>
          <w:rFonts w:ascii="Calibri" w:eastAsia="Calibri" w:hAnsi="Calibri" w:cs="Calibri"/>
          <w:i/>
          <w:sz w:val="24"/>
          <w:szCs w:val="24"/>
        </w:rPr>
        <w:t>n</w:t>
      </w:r>
      <w:r>
        <w:rPr>
          <w:rFonts w:ascii="Calibri" w:eastAsia="Calibri" w:hAnsi="Calibri" w:cs="Calibri"/>
          <w:sz w:val="24"/>
          <w:szCs w:val="24"/>
        </w:rPr>
        <w:t xml:space="preserve"> = 768</w:t>
      </w:r>
      <w:r>
        <w:rPr>
          <w:rFonts w:ascii="Calibri" w:eastAsia="Calibri" w:hAnsi="Calibri" w:cs="Calibri"/>
          <w:strike/>
          <w:sz w:val="24"/>
          <w:szCs w:val="24"/>
        </w:rPr>
        <w:t>: “</w:t>
      </w:r>
      <w:proofErr w:type="spellStart"/>
      <w:r>
        <w:rPr>
          <w:rFonts w:ascii="Calibri" w:eastAsia="Calibri" w:hAnsi="Calibri" w:cs="Calibri"/>
          <w:strike/>
          <w:sz w:val="24"/>
          <w:szCs w:val="24"/>
        </w:rPr>
        <w:t>pos</w:t>
      </w:r>
      <w:proofErr w:type="spellEnd"/>
      <w:r>
        <w:rPr>
          <w:rFonts w:ascii="Calibri" w:eastAsia="Calibri" w:hAnsi="Calibri" w:cs="Calibri"/>
          <w:strike/>
          <w:sz w:val="24"/>
          <w:szCs w:val="24"/>
        </w:rPr>
        <w:t>”</w:t>
      </w:r>
      <w:r>
        <w:rPr>
          <w:rFonts w:ascii="Calibri" w:eastAsia="Calibri" w:hAnsi="Calibri" w:cs="Calibri"/>
          <w:sz w:val="24"/>
          <w:szCs w:val="24"/>
        </w:rPr>
        <w:t xml:space="preserve">). </w:t>
      </w:r>
      <w:r>
        <w:rPr>
          <w:rFonts w:ascii="Calibri" w:eastAsia="Calibri" w:hAnsi="Calibri" w:cs="Calibri"/>
          <w:i/>
          <w:sz w:val="24"/>
          <w:szCs w:val="24"/>
        </w:rPr>
        <w:t>n</w:t>
      </w:r>
      <w:r>
        <w:rPr>
          <w:rFonts w:ascii="Calibri" w:eastAsia="Calibri" w:hAnsi="Calibri" w:cs="Calibri"/>
          <w:sz w:val="24"/>
          <w:szCs w:val="24"/>
        </w:rPr>
        <w:t xml:space="preserve"> indicates the number of discrete Holocene-active volcanic systems in each category. </w:t>
      </w:r>
      <w:r>
        <w:rPr>
          <w:rFonts w:ascii="Calibri" w:eastAsia="Calibri" w:hAnsi="Calibri" w:cs="Calibri"/>
          <w:b/>
          <w:sz w:val="24"/>
          <w:szCs w:val="24"/>
        </w:rPr>
        <w:t xml:space="preserve"> c </w:t>
      </w:r>
      <w:r>
        <w:rPr>
          <w:rFonts w:ascii="Calibri" w:eastAsia="Calibri" w:hAnsi="Calibri" w:cs="Calibri"/>
          <w:sz w:val="24"/>
          <w:szCs w:val="24"/>
        </w:rPr>
        <w:t xml:space="preserve">Histogram of mean FMR for each group of volcanoes (as in </w:t>
      </w:r>
      <w:r>
        <w:rPr>
          <w:rFonts w:ascii="Calibri" w:eastAsia="Calibri" w:hAnsi="Calibri" w:cs="Calibri"/>
          <w:b/>
          <w:sz w:val="24"/>
          <w:szCs w:val="24"/>
        </w:rPr>
        <w:t>b</w:t>
      </w:r>
      <w:r>
        <w:rPr>
          <w:rFonts w:ascii="Calibri" w:eastAsia="Calibri" w:hAnsi="Calibri" w:cs="Calibri"/>
          <w:sz w:val="24"/>
          <w:szCs w:val="24"/>
        </w:rPr>
        <w:t xml:space="preserve">). Mean and two standard deviation range are indicated </w:t>
      </w:r>
      <w:r>
        <w:rPr>
          <w:rFonts w:ascii="Calibri" w:eastAsia="Calibri" w:hAnsi="Calibri" w:cs="Calibri"/>
          <w:color w:val="FF00FF"/>
          <w:sz w:val="24"/>
          <w:szCs w:val="24"/>
        </w:rPr>
        <w:t>by t</w:t>
      </w:r>
      <w:r>
        <w:rPr>
          <w:rFonts w:ascii="Calibri" w:eastAsia="Calibri" w:hAnsi="Calibri" w:cs="Calibri"/>
          <w:color w:val="FF00FF"/>
          <w:sz w:val="24"/>
          <w:szCs w:val="24"/>
        </w:rPr>
        <w:t>he vertical and horizontal lines, respectively</w:t>
      </w:r>
      <w:r>
        <w:rPr>
          <w:rFonts w:ascii="Calibri" w:eastAsia="Calibri" w:hAnsi="Calibri" w:cs="Calibri"/>
          <w:sz w:val="24"/>
          <w:szCs w:val="24"/>
        </w:rPr>
        <w:t xml:space="preserve"> (</w:t>
      </w:r>
      <w:r>
        <w:rPr>
          <w:rFonts w:ascii="Calibri" w:eastAsia="Calibri" w:hAnsi="Calibri" w:cs="Calibri"/>
          <w:b/>
          <w:sz w:val="24"/>
          <w:szCs w:val="24"/>
        </w:rPr>
        <w:t>Methods</w:t>
      </w:r>
      <w:r>
        <w:rPr>
          <w:rFonts w:ascii="Calibri" w:eastAsia="Calibri" w:hAnsi="Calibri" w:cs="Calibri"/>
          <w:sz w:val="24"/>
          <w:szCs w:val="24"/>
        </w:rPr>
        <w:t xml:space="preserve">). </w:t>
      </w:r>
    </w:p>
    <w:p w14:paraId="59435464" w14:textId="77777777" w:rsidR="0055039A" w:rsidRDefault="0055039A">
      <w:pPr>
        <w:jc w:val="both"/>
        <w:rPr>
          <w:rFonts w:ascii="Calibri" w:eastAsia="Calibri" w:hAnsi="Calibri" w:cs="Calibri"/>
        </w:rPr>
      </w:pPr>
    </w:p>
    <w:p w14:paraId="07096E7A" w14:textId="77777777" w:rsidR="0055039A" w:rsidRDefault="003A5537">
      <w:pPr>
        <w:pStyle w:val="Heading3"/>
      </w:pPr>
      <w:bookmarkStart w:id="4" w:name="_ah3qndvn7vqu" w:colFirst="0" w:colLast="0"/>
      <w:bookmarkEnd w:id="4"/>
      <w:r>
        <w:t>Models project an increase in heavy precipitation for most or all volcanic regions</w:t>
      </w:r>
    </w:p>
    <w:p w14:paraId="0FDFF240" w14:textId="77777777" w:rsidR="0055039A" w:rsidRDefault="003A5537">
      <w:r>
        <w:t xml:space="preserve"> </w:t>
      </w:r>
    </w:p>
    <w:p w14:paraId="1D5D3002" w14:textId="77777777" w:rsidR="0055039A" w:rsidRDefault="003A5537">
      <w:r>
        <w:t>The GVP subdivides Earth’s volcanoes into 19 discrete regions</w:t>
      </w:r>
      <w:r>
        <w:rPr>
          <w:color w:val="FF00FF"/>
        </w:rPr>
        <w:t>, which</w:t>
      </w:r>
      <w:r>
        <w:t xml:space="preserve"> are further subdivided into 101 </w:t>
      </w:r>
      <w:proofErr w:type="spellStart"/>
      <w:r>
        <w:t>subregions</w:t>
      </w:r>
      <w:proofErr w:type="spellEnd"/>
      <w:r>
        <w:t xml:space="preserve">. Extracting areal averages of these volcanic regions (those grid cells containing at least one Holocene-active volcano: </w:t>
      </w:r>
      <w:r>
        <w:rPr>
          <w:color w:val="FF00FF"/>
        </w:rPr>
        <w:t xml:space="preserve">discrete </w:t>
      </w:r>
      <w:proofErr w:type="spellStart"/>
      <w:r>
        <w:rPr>
          <w:color w:val="FF00FF"/>
        </w:rPr>
        <w:t>coloured</w:t>
      </w:r>
      <w:proofErr w:type="spellEnd"/>
      <w:r>
        <w:rPr>
          <w:color w:val="FF00FF"/>
        </w:rPr>
        <w:t xml:space="preserve"> rectilinear polygons</w:t>
      </w:r>
      <w:r>
        <w:t xml:space="preserve"> </w:t>
      </w:r>
      <w:r>
        <w:rPr>
          <w:color w:val="FF00FF"/>
        </w:rPr>
        <w:t>in</w:t>
      </w:r>
      <w:r>
        <w:t xml:space="preserve"> Figure 3a), we calculate the linear regression–bas</w:t>
      </w:r>
      <w:r>
        <w:t>ed gradient of change in heavy precipitation versus global warming.</w:t>
      </w:r>
    </w:p>
    <w:p w14:paraId="1B077D64" w14:textId="77777777" w:rsidR="0055039A" w:rsidRDefault="003A5537">
      <w:r>
        <w:rPr>
          <w:noProof/>
        </w:rPr>
        <w:lastRenderedPageBreak/>
        <w:drawing>
          <wp:inline distT="114300" distB="114300" distL="114300" distR="114300" wp14:anchorId="62DA13B0" wp14:editId="633229B1">
            <wp:extent cx="5943600" cy="4013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4013200"/>
                    </a:xfrm>
                    <a:prstGeom prst="rect">
                      <a:avLst/>
                    </a:prstGeom>
                    <a:ln/>
                  </pic:spPr>
                </pic:pic>
              </a:graphicData>
            </a:graphic>
          </wp:inline>
        </w:drawing>
      </w:r>
    </w:p>
    <w:p w14:paraId="096235CE" w14:textId="77777777" w:rsidR="0055039A" w:rsidRDefault="003A5537">
      <w:pPr>
        <w:rPr>
          <w:rFonts w:ascii="Calibri" w:eastAsia="Calibri" w:hAnsi="Calibri" w:cs="Calibri"/>
        </w:rPr>
      </w:pPr>
      <w:r>
        <w:rPr>
          <w:rFonts w:ascii="Calibri" w:eastAsia="Calibri" w:hAnsi="Calibri" w:cs="Calibri"/>
          <w:b/>
        </w:rPr>
        <w:t>Figure 3| Regional and sub-regional spatial averages.</w:t>
      </w:r>
      <w:r>
        <w:rPr>
          <w:rFonts w:ascii="Calibri" w:eastAsia="Calibri" w:hAnsi="Calibri" w:cs="Calibri"/>
        </w:rPr>
        <w:t xml:space="preserve"> </w:t>
      </w:r>
      <w:r>
        <w:rPr>
          <w:rFonts w:ascii="Calibri" w:eastAsia="Calibri" w:hAnsi="Calibri" w:cs="Calibri"/>
          <w:b/>
        </w:rPr>
        <w:t xml:space="preserve">a </w:t>
      </w:r>
      <w:r>
        <w:rPr>
          <w:rFonts w:ascii="Calibri" w:eastAsia="Calibri" w:hAnsi="Calibri" w:cs="Calibri"/>
        </w:rPr>
        <w:t>Map</w:t>
      </w:r>
      <w:r>
        <w:rPr>
          <w:rFonts w:ascii="Calibri" w:eastAsia="Calibri" w:hAnsi="Calibri" w:cs="Calibri"/>
        </w:rPr>
        <w:t xml:space="preserve"> indicating the noncontiguous spatial extent over which regional data are averaged. Circle markers indicate individual volcanoes shown in </w:t>
      </w:r>
      <w:r>
        <w:rPr>
          <w:rFonts w:ascii="Calibri" w:eastAsia="Calibri" w:hAnsi="Calibri" w:cs="Calibri"/>
          <w:b/>
        </w:rPr>
        <w:t>Figure 4</w:t>
      </w:r>
      <w:r>
        <w:rPr>
          <w:rFonts w:ascii="Calibri" w:eastAsia="Calibri" w:hAnsi="Calibri" w:cs="Calibri"/>
        </w:rPr>
        <w:t xml:space="preserve">. V = Vesuvius, M = Merapi, F = Fuego, R = </w:t>
      </w:r>
      <w:proofErr w:type="spellStart"/>
      <w:r>
        <w:rPr>
          <w:rFonts w:ascii="Calibri" w:eastAsia="Calibri" w:hAnsi="Calibri" w:cs="Calibri"/>
        </w:rPr>
        <w:t>Reventador</w:t>
      </w:r>
      <w:proofErr w:type="spellEnd"/>
      <w:r>
        <w:rPr>
          <w:rFonts w:ascii="Calibri" w:eastAsia="Calibri" w:hAnsi="Calibri" w:cs="Calibri"/>
        </w:rPr>
        <w:t xml:space="preserve">, G = </w:t>
      </w:r>
      <w:proofErr w:type="spellStart"/>
      <w:r>
        <w:rPr>
          <w:rFonts w:ascii="Calibri" w:eastAsia="Calibri" w:hAnsi="Calibri" w:cs="Calibri"/>
        </w:rPr>
        <w:t>Guagua</w:t>
      </w:r>
      <w:proofErr w:type="spellEnd"/>
      <w:r>
        <w:rPr>
          <w:rFonts w:ascii="Calibri" w:eastAsia="Calibri" w:hAnsi="Calibri" w:cs="Calibri"/>
        </w:rPr>
        <w:t xml:space="preserve"> Pichincha, S = </w:t>
      </w:r>
      <w:proofErr w:type="spellStart"/>
      <w:r>
        <w:rPr>
          <w:rFonts w:ascii="Calibri" w:eastAsia="Calibri" w:hAnsi="Calibri" w:cs="Calibri"/>
        </w:rPr>
        <w:t>Soufrière</w:t>
      </w:r>
      <w:proofErr w:type="spellEnd"/>
      <w:r>
        <w:rPr>
          <w:rFonts w:ascii="Calibri" w:eastAsia="Calibri" w:hAnsi="Calibri" w:cs="Calibri"/>
        </w:rPr>
        <w:t xml:space="preserve"> Hills Volcano. [Ins</w:t>
      </w:r>
      <w:r>
        <w:rPr>
          <w:rFonts w:ascii="Calibri" w:eastAsia="Calibri" w:hAnsi="Calibri" w:cs="Calibri"/>
        </w:rPr>
        <w:t xml:space="preserve">et] polar regions. </w:t>
      </w:r>
      <w:r>
        <w:rPr>
          <w:rFonts w:ascii="Calibri" w:eastAsia="Calibri" w:hAnsi="Calibri" w:cs="Calibri"/>
          <w:color w:val="FF00FF"/>
        </w:rPr>
        <w:t xml:space="preserve">Regions are represented by discrete </w:t>
      </w:r>
      <w:proofErr w:type="spellStart"/>
      <w:r>
        <w:rPr>
          <w:rFonts w:ascii="Calibri" w:eastAsia="Calibri" w:hAnsi="Calibri" w:cs="Calibri"/>
          <w:color w:val="FF00FF"/>
        </w:rPr>
        <w:t>coloured</w:t>
      </w:r>
      <w:proofErr w:type="spellEnd"/>
      <w:r>
        <w:rPr>
          <w:rFonts w:ascii="Calibri" w:eastAsia="Calibri" w:hAnsi="Calibri" w:cs="Calibri"/>
          <w:color w:val="FF00FF"/>
        </w:rPr>
        <w:t xml:space="preserve"> rectilinear polygons. Ant = Antarctica; </w:t>
      </w:r>
      <w:proofErr w:type="spellStart"/>
      <w:r>
        <w:rPr>
          <w:rFonts w:ascii="Calibri" w:eastAsia="Calibri" w:hAnsi="Calibri" w:cs="Calibri"/>
          <w:color w:val="FF00FF"/>
        </w:rPr>
        <w:t>Atl</w:t>
      </w:r>
      <w:proofErr w:type="spellEnd"/>
      <w:r>
        <w:rPr>
          <w:rFonts w:ascii="Calibri" w:eastAsia="Calibri" w:hAnsi="Calibri" w:cs="Calibri"/>
          <w:color w:val="FF00FF"/>
        </w:rPr>
        <w:t xml:space="preserve"> = Atlantic Ocean; </w:t>
      </w:r>
      <w:proofErr w:type="spellStart"/>
      <w:r>
        <w:rPr>
          <w:rFonts w:ascii="Calibri" w:eastAsia="Calibri" w:hAnsi="Calibri" w:cs="Calibri"/>
          <w:color w:val="FF00FF"/>
        </w:rPr>
        <w:t>Sou</w:t>
      </w:r>
      <w:proofErr w:type="spellEnd"/>
      <w:r>
        <w:rPr>
          <w:rFonts w:ascii="Calibri" w:eastAsia="Calibri" w:hAnsi="Calibri" w:cs="Calibri"/>
          <w:color w:val="FF00FF"/>
        </w:rPr>
        <w:t xml:space="preserve"> = South America; Ala = Alaska; Kur = Kuril Islands; </w:t>
      </w:r>
      <w:proofErr w:type="spellStart"/>
      <w:r>
        <w:rPr>
          <w:rFonts w:ascii="Calibri" w:eastAsia="Calibri" w:hAnsi="Calibri" w:cs="Calibri"/>
          <w:color w:val="FF00FF"/>
        </w:rPr>
        <w:t>Ind</w:t>
      </w:r>
      <w:proofErr w:type="spellEnd"/>
      <w:r>
        <w:rPr>
          <w:rFonts w:ascii="Calibri" w:eastAsia="Calibri" w:hAnsi="Calibri" w:cs="Calibri"/>
          <w:color w:val="FF00FF"/>
        </w:rPr>
        <w:t xml:space="preserve"> = Indonesia; Mid = Middle East and Indian Ocean; Phi = Philippines and</w:t>
      </w:r>
      <w:r>
        <w:rPr>
          <w:rFonts w:ascii="Calibri" w:eastAsia="Calibri" w:hAnsi="Calibri" w:cs="Calibri"/>
          <w:color w:val="FF00FF"/>
        </w:rPr>
        <w:t xml:space="preserve"> SE Asia; </w:t>
      </w:r>
      <w:proofErr w:type="spellStart"/>
      <w:r>
        <w:rPr>
          <w:rFonts w:ascii="Calibri" w:eastAsia="Calibri" w:hAnsi="Calibri" w:cs="Calibri"/>
          <w:color w:val="FF00FF"/>
        </w:rPr>
        <w:t>Méx</w:t>
      </w:r>
      <w:proofErr w:type="spellEnd"/>
      <w:r>
        <w:rPr>
          <w:rFonts w:ascii="Calibri" w:eastAsia="Calibri" w:hAnsi="Calibri" w:cs="Calibri"/>
          <w:color w:val="FF00FF"/>
        </w:rPr>
        <w:t xml:space="preserve"> = México and Central America; Jap = Japan, Taiwan, and Marianas; Kam = Kamchatka and Mainland Asia; Med = Mediterranean and Western Asia; New = New Zealand to Fiji; Haw =  Hawai`i and Pacific Ocean; Ice = Iceland and Arctic Ocean; </w:t>
      </w:r>
      <w:proofErr w:type="spellStart"/>
      <w:r>
        <w:rPr>
          <w:rFonts w:ascii="Calibri" w:eastAsia="Calibri" w:hAnsi="Calibri" w:cs="Calibri"/>
          <w:color w:val="FF00FF"/>
        </w:rPr>
        <w:t>Afr</w:t>
      </w:r>
      <w:proofErr w:type="spellEnd"/>
      <w:r>
        <w:rPr>
          <w:rFonts w:ascii="Calibri" w:eastAsia="Calibri" w:hAnsi="Calibri" w:cs="Calibri"/>
          <w:color w:val="FF00FF"/>
        </w:rPr>
        <w:t xml:space="preserve"> = Afric</w:t>
      </w:r>
      <w:r>
        <w:rPr>
          <w:rFonts w:ascii="Calibri" w:eastAsia="Calibri" w:hAnsi="Calibri" w:cs="Calibri"/>
          <w:color w:val="FF00FF"/>
        </w:rPr>
        <w:t>a and Red Sea; Wes = West Indies; Mel = Melanesia and Australia; Can = Canada and Western USA.</w:t>
      </w:r>
      <w:r>
        <w:rPr>
          <w:rFonts w:ascii="Calibri" w:eastAsia="Calibri" w:hAnsi="Calibri" w:cs="Calibri"/>
        </w:rPr>
        <w:t xml:space="preserve"> </w:t>
      </w:r>
      <w:r>
        <w:rPr>
          <w:rFonts w:ascii="Calibri" w:eastAsia="Calibri" w:hAnsi="Calibri" w:cs="Calibri"/>
          <w:b/>
        </w:rPr>
        <w:t>b</w:t>
      </w:r>
      <w:r>
        <w:rPr>
          <w:rFonts w:ascii="Calibri" w:eastAsia="Calibri" w:hAnsi="Calibri" w:cs="Calibri"/>
        </w:rPr>
        <w:t xml:space="preserve"> Bar chart of the number of regions and </w:t>
      </w:r>
      <w:proofErr w:type="spellStart"/>
      <w:r>
        <w:rPr>
          <w:rFonts w:ascii="Calibri" w:eastAsia="Calibri" w:hAnsi="Calibri" w:cs="Calibri"/>
        </w:rPr>
        <w:t>subregions</w:t>
      </w:r>
      <w:proofErr w:type="spellEnd"/>
      <w:r>
        <w:rPr>
          <w:rFonts w:ascii="Calibri" w:eastAsia="Calibri" w:hAnsi="Calibri" w:cs="Calibri"/>
        </w:rPr>
        <w:t xml:space="preserve"> where</w:t>
      </w:r>
      <w:r>
        <w:rPr>
          <w:rFonts w:ascii="Calibri" w:eastAsia="Calibri" w:hAnsi="Calibri" w:cs="Calibri"/>
          <w:i/>
        </w:rPr>
        <w:t xml:space="preserve"> x</w:t>
      </w:r>
      <w:r>
        <w:rPr>
          <w:rFonts w:ascii="Calibri" w:eastAsia="Calibri" w:hAnsi="Calibri" w:cs="Calibri"/>
        </w:rPr>
        <w:t xml:space="preserve"> number of models project a spatially averaged forced model response (FMR) &gt; 0 (i.e. a concomitant inc</w:t>
      </w:r>
      <w:r>
        <w:rPr>
          <w:rFonts w:ascii="Calibri" w:eastAsia="Calibri" w:hAnsi="Calibri" w:cs="Calibri"/>
        </w:rPr>
        <w:t xml:space="preserve">rease in heavy precipitation and global mean temperature). Dashed bracket indicates the majority of models, solid bracket indicates 7 or more out of 9 models. </w:t>
      </w:r>
      <w:r>
        <w:rPr>
          <w:rFonts w:ascii="Calibri" w:eastAsia="Calibri" w:hAnsi="Calibri" w:cs="Calibri"/>
          <w:b/>
        </w:rPr>
        <w:t>c</w:t>
      </w:r>
      <w:r>
        <w:rPr>
          <w:rFonts w:ascii="Calibri" w:eastAsia="Calibri" w:hAnsi="Calibri" w:cs="Calibri"/>
        </w:rPr>
        <w:t xml:space="preserve"> Inter-model distributions of calculated FMR for each region. </w:t>
      </w:r>
    </w:p>
    <w:p w14:paraId="17B6D676" w14:textId="77777777" w:rsidR="0055039A" w:rsidRDefault="0055039A"/>
    <w:p w14:paraId="5C4E304D" w14:textId="77777777" w:rsidR="0055039A" w:rsidRDefault="003A5537">
      <w:r>
        <w:t xml:space="preserve">For each region, </w:t>
      </w:r>
      <w:r>
        <w:rPr>
          <w:b/>
        </w:rPr>
        <w:t>Figure 3b</w:t>
      </w:r>
      <w:r>
        <w:t xml:space="preserve"> indic</w:t>
      </w:r>
      <w:r>
        <w:t>ates the distribution of models (out of a maximum of nine) that project a positive FMR: a concomitant increase in heavy rainfall with global warming.  For the vast majority of volcanic regions (16/19: 84 %), most models project positive FMR. Of these, 13 (</w:t>
      </w:r>
      <w:r>
        <w:t>64 %) exhibit agreement across at least seven models, and for 8 regions (Antarctica; Atlantic Ocean; Alaska; Africa and Red Sea; México and Central America; Iceland and Arctic Ocean; West Indies; Canada and Western USA) all models forecast a positive FMR (</w:t>
      </w:r>
      <w:r>
        <w:t xml:space="preserve">42 % of all regions). </w:t>
      </w:r>
      <w:r>
        <w:rPr>
          <w:color w:val="FF00FF"/>
        </w:rPr>
        <w:t>There are no volcanic regions for which more than seven models project a negative FMR.</w:t>
      </w:r>
      <w:r>
        <w:t>. This trend is echoed at the sub-regional scale (</w:t>
      </w:r>
      <w:r>
        <w:rPr>
          <w:b/>
        </w:rPr>
        <w:t>Figure 3b</w:t>
      </w:r>
      <w:r>
        <w:t xml:space="preserve">): the majority of models forecast positive FMR for 74 of 101 </w:t>
      </w:r>
      <w:proofErr w:type="spellStart"/>
      <w:r>
        <w:t>subregions</w:t>
      </w:r>
      <w:proofErr w:type="spellEnd"/>
      <w:r>
        <w:t xml:space="preserve"> (73 %), and of t</w:t>
      </w:r>
      <w:r>
        <w:t xml:space="preserve">hese, 54 (53 %) exhibit agreement between at least seven models. There are zero </w:t>
      </w:r>
      <w:proofErr w:type="spellStart"/>
      <w:r>
        <w:t>subregions</w:t>
      </w:r>
      <w:proofErr w:type="spellEnd"/>
      <w:r>
        <w:t xml:space="preserve"> where all models project a negative FMR. At both the region and </w:t>
      </w:r>
      <w:proofErr w:type="spellStart"/>
      <w:r>
        <w:t>subregion</w:t>
      </w:r>
      <w:proofErr w:type="spellEnd"/>
      <w:r>
        <w:t xml:space="preserve"> scale, the observed distributions are statistically nonuniform, </w:t>
      </w:r>
      <w:proofErr w:type="spellStart"/>
      <w:r>
        <w:lastRenderedPageBreak/>
        <w:t>characterised</w:t>
      </w:r>
      <w:proofErr w:type="spellEnd"/>
      <w:r>
        <w:t xml:space="preserve"> by CDF(χ</w:t>
      </w:r>
      <w:r>
        <w:rPr>
          <w:vertAlign w:val="superscript"/>
        </w:rPr>
        <w:t>2</w:t>
      </w:r>
      <w:r>
        <w:t xml:space="preserve">) ≪ </w:t>
      </w:r>
      <w:r>
        <w:t xml:space="preserve">0.01. Figure 3c shows the distribution of calculated gradients across models for each region. Note that majority-positive FMR distributions (e.g. </w:t>
      </w:r>
      <w:r>
        <w:rPr>
          <w:color w:val="FF0000"/>
        </w:rPr>
        <w:t>Antarctica, Alaska, Atlantic Ocean, Mediterranean</w:t>
      </w:r>
      <w:r>
        <w:rPr>
          <w:color w:val="FF00FF"/>
        </w:rPr>
        <w:t xml:space="preserve"> and Western Asia</w:t>
      </w:r>
      <w:r>
        <w:rPr>
          <w:color w:val="FF0000"/>
        </w:rPr>
        <w:t>, Kamchatka</w:t>
      </w:r>
      <w:r>
        <w:rPr>
          <w:color w:val="FF00FF"/>
        </w:rPr>
        <w:t xml:space="preserve"> and Mainland Asia</w:t>
      </w:r>
      <w:r>
        <w:t>: Figure 3c) te</w:t>
      </w:r>
      <w:r>
        <w:t xml:space="preserve">nd to be relatively tightly clustered, whereas for those regions where FMR is predominantly negative or ambiguous (e.g. </w:t>
      </w:r>
      <w:r>
        <w:rPr>
          <w:color w:val="FF0000"/>
        </w:rPr>
        <w:t xml:space="preserve">Philippines, Kuril Islands, Hawai`i </w:t>
      </w:r>
      <w:r>
        <w:rPr>
          <w:color w:val="FF00FF"/>
        </w:rPr>
        <w:t>and Pacific Ocean</w:t>
      </w:r>
      <w:r>
        <w:rPr>
          <w:color w:val="FF0000"/>
        </w:rPr>
        <w:t>:</w:t>
      </w:r>
      <w:r>
        <w:t xml:space="preserve"> Figure 3c), the distribution tends to be broader. This </w:t>
      </w:r>
      <w:proofErr w:type="spellStart"/>
      <w:r>
        <w:t>emphasises</w:t>
      </w:r>
      <w:proofErr w:type="spellEnd"/>
      <w:r>
        <w:t xml:space="preserve"> the fact that w</w:t>
      </w:r>
      <w:r>
        <w:t>hen we observe reasonable inter-model concurrence in any given region, the result is usually that heavy rainfall is set to increase over the next 80 years.</w:t>
      </w:r>
    </w:p>
    <w:p w14:paraId="3E9FE618" w14:textId="77777777" w:rsidR="0055039A" w:rsidRDefault="003A5537">
      <w:r>
        <w:t xml:space="preserve"> </w:t>
      </w:r>
    </w:p>
    <w:p w14:paraId="174B04AE" w14:textId="77777777" w:rsidR="0055039A" w:rsidRDefault="003A5537">
      <w:r>
        <w:t>Illustrative examples of regionally averaged climate projections are given in Figure 4a-f, highlig</w:t>
      </w:r>
      <w:r>
        <w:t xml:space="preserve">hted here due to the demonstrable risk of rainfall-induced hazard therein (data for all regions and </w:t>
      </w:r>
      <w:proofErr w:type="spellStart"/>
      <w:r>
        <w:t>subregions</w:t>
      </w:r>
      <w:proofErr w:type="spellEnd"/>
      <w:r>
        <w:t xml:space="preserve"> are provided as supplementary material). The Atlantic ocean volcanic region (Fig. 3a, Fig. 4a) largely comprises island volcanoes </w:t>
      </w:r>
      <w:proofErr w:type="spellStart"/>
      <w:r>
        <w:t>characterised</w:t>
      </w:r>
      <w:proofErr w:type="spellEnd"/>
      <w:r>
        <w:t xml:space="preserve"> b</w:t>
      </w:r>
      <w:r>
        <w:t xml:space="preserve">y a history of catastrophic collapse—including Tristan de Cunha, El </w:t>
      </w:r>
      <w:proofErr w:type="spellStart"/>
      <w:r>
        <w:t>Hierro</w:t>
      </w:r>
      <w:proofErr w:type="spellEnd"/>
      <w:r>
        <w:t>, and Tenerife—a potential tsunamigenic hazard facilitated by wet climates (</w:t>
      </w:r>
      <w:proofErr w:type="spellStart"/>
      <w:r>
        <w:t>Hürlimann</w:t>
      </w:r>
      <w:proofErr w:type="spellEnd"/>
      <w:r>
        <w:t xml:space="preserve"> et al. 1999). The Canada and Western USA volcanic region (Fig. 3a, Fig. 4b) is predominantly com</w:t>
      </w:r>
      <w:r>
        <w:t xml:space="preserve">posed of stratovolcanoes in the Cascade Range. The incidence of sector collapse at several Cascadian volcanoes (including Mount St Helens, Mt Adams, and Mt Baker) has been proposed to be triggered or exacerbated by historical climate change, including the </w:t>
      </w:r>
      <w:r>
        <w:t xml:space="preserve">attendant increase in humidity and rainfall (Capra 2006). Numerous volcanoes in the Cascade Range currently present a significant lahar threat to major population </w:t>
      </w:r>
      <w:proofErr w:type="spellStart"/>
      <w:r>
        <w:t>centres</w:t>
      </w:r>
      <w:proofErr w:type="spellEnd"/>
      <w:r>
        <w:t xml:space="preserve"> (Hickson 1994), with several exhibiting flank segments in excess of 20° slope pitch (</w:t>
      </w:r>
      <w:r>
        <w:t>calculated from Grosse et al. 2014). Notably, direct evidence of rainfall-triggered explosive activity has been reported for Mount St Helens (</w:t>
      </w:r>
      <w:proofErr w:type="spellStart"/>
      <w:r>
        <w:t>Mastin</w:t>
      </w:r>
      <w:proofErr w:type="spellEnd"/>
      <w:r>
        <w:t xml:space="preserve"> 1994). The Alaska region (Fig.</w:t>
      </w:r>
    </w:p>
    <w:p w14:paraId="33FF5882" w14:textId="77777777" w:rsidR="0055039A" w:rsidRDefault="003A5537">
      <w:r>
        <w:t>3a, Fig. 4c)—including the Alaskan Peninsula, Aleutian Range, and Aleutian i</w:t>
      </w:r>
      <w:r>
        <w:t>sland arc—hosts volcanoes with the highest mean and partial flank inclines (in excess of 30 and 40°, respectively: Grosse et al. 2014). Holocene climate change has already been shown to have driven geologically recent volcanic sector collapse in parts of t</w:t>
      </w:r>
      <w:r>
        <w:t>he Mediterranean and Western Asia region (Fig. 3a, Fig. 4d) (Deeming et al. 2010), with these areas highlighted as becoming increasingly hazard-prone in the future (McGuire 2010). The West Indies region (Fig. 3a, Fig. 4e) has similarly been highlighted (Mc</w:t>
      </w:r>
      <w:r>
        <w:t xml:space="preserve">Guire 2010), and hosts frequently active volcanoes such as </w:t>
      </w:r>
      <w:proofErr w:type="spellStart"/>
      <w:r>
        <w:t>Soufrière</w:t>
      </w:r>
      <w:proofErr w:type="spellEnd"/>
      <w:r>
        <w:t xml:space="preserve"> Hills where primary volcanic activity is observably triggered by heavy rainfall (Matthews et al. 2002). Finally, Indonesia (Fig. 3a, Fig. 4f)—the world’s most volcanically active country </w:t>
      </w:r>
      <w:r>
        <w:t xml:space="preserve">and a volcanic region unto itself—is home to multiple volcanoes where explosive </w:t>
      </w:r>
      <w:proofErr w:type="spellStart"/>
      <w:r>
        <w:t>behaviour</w:t>
      </w:r>
      <w:proofErr w:type="spellEnd"/>
      <w:r>
        <w:t xml:space="preserve"> has been triggered by heavy rainfall. Notable examples of activity following prolonged or extreme rainfall include the unexpected onset of an eruption at Egon in 2004</w:t>
      </w:r>
      <w:r>
        <w:t xml:space="preserve">, explosions and dome instabilities at </w:t>
      </w:r>
      <w:proofErr w:type="spellStart"/>
      <w:r>
        <w:t>Lokon-Empung</w:t>
      </w:r>
      <w:proofErr w:type="spellEnd"/>
      <w:r>
        <w:t xml:space="preserve"> in 2002 and 2011, and the sudden and tragically fatal explosive activity at </w:t>
      </w:r>
      <w:proofErr w:type="spellStart"/>
      <w:r>
        <w:t>Karangetang</w:t>
      </w:r>
      <w:proofErr w:type="spellEnd"/>
      <w:r>
        <w:t xml:space="preserve"> in 2010 (see supplementary material).</w:t>
      </w:r>
    </w:p>
    <w:p w14:paraId="65F35023" w14:textId="77777777" w:rsidR="0055039A" w:rsidRDefault="003A5537">
      <w:r>
        <w:t xml:space="preserve"> </w:t>
      </w:r>
    </w:p>
    <w:p w14:paraId="4256318C" w14:textId="77777777" w:rsidR="0055039A" w:rsidRDefault="003A5537">
      <w:pPr>
        <w:rPr>
          <w:sz w:val="24"/>
          <w:szCs w:val="24"/>
        </w:rPr>
      </w:pPr>
      <w:r>
        <w:t>Clearly, each of these regions appears particularly hazard-prone in terms of</w:t>
      </w:r>
      <w:r>
        <w:t xml:space="preserve"> heavy rainfall–driven phenomena. Just as clearly, heavy rainfall is projected to increase in these regions by most or all climate models, thus heightening an already considerable threat to life, property, and infrastructure in the coming decades.</w:t>
      </w:r>
      <w:r>
        <w:rPr>
          <w:sz w:val="24"/>
          <w:szCs w:val="24"/>
        </w:rPr>
        <w:t xml:space="preserve"> </w:t>
      </w:r>
      <w:r>
        <w:rPr>
          <w:noProof/>
          <w:sz w:val="24"/>
          <w:szCs w:val="24"/>
        </w:rPr>
        <w:lastRenderedPageBreak/>
        <w:drawing>
          <wp:inline distT="114300" distB="114300" distL="114300" distR="114300" wp14:anchorId="16765494" wp14:editId="54976D1C">
            <wp:extent cx="5943600" cy="2527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2527300"/>
                    </a:xfrm>
                    <a:prstGeom prst="rect">
                      <a:avLst/>
                    </a:prstGeom>
                    <a:ln/>
                  </pic:spPr>
                </pic:pic>
              </a:graphicData>
            </a:graphic>
          </wp:inline>
        </w:drawing>
      </w:r>
      <w:r>
        <w:rPr>
          <w:noProof/>
          <w:sz w:val="24"/>
          <w:szCs w:val="24"/>
        </w:rPr>
        <w:drawing>
          <wp:inline distT="114300" distB="114300" distL="114300" distR="114300" wp14:anchorId="50419F9E" wp14:editId="00953F14">
            <wp:extent cx="5943600" cy="55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558800"/>
                    </a:xfrm>
                    <a:prstGeom prst="rect">
                      <a:avLst/>
                    </a:prstGeom>
                    <a:ln/>
                  </pic:spPr>
                </pic:pic>
              </a:graphicData>
            </a:graphic>
          </wp:inline>
        </w:drawing>
      </w:r>
    </w:p>
    <w:p w14:paraId="7FB791BC" w14:textId="77777777" w:rsidR="0055039A" w:rsidRDefault="003A5537">
      <w:pPr>
        <w:rPr>
          <w:rFonts w:ascii="Calibri" w:eastAsia="Calibri" w:hAnsi="Calibri" w:cs="Calibri"/>
        </w:rPr>
      </w:pPr>
      <w:r>
        <w:rPr>
          <w:rFonts w:ascii="Calibri" w:eastAsia="Calibri" w:hAnsi="Calibri" w:cs="Calibri"/>
          <w:b/>
        </w:rPr>
        <w:t>Figure 4 | Forced model responses at different spatial scales. a–f</w:t>
      </w:r>
      <w:r>
        <w:rPr>
          <w:rFonts w:ascii="Calibri" w:eastAsia="Calibri" w:hAnsi="Calibri" w:cs="Calibri"/>
        </w:rPr>
        <w:t xml:space="preserve"> Percent change in modeled heavy rainfall per degree of global warming. Data are shown as a 30-yr rolling mean, </w:t>
      </w:r>
      <w:proofErr w:type="spellStart"/>
      <w:r>
        <w:rPr>
          <w:rFonts w:ascii="Calibri" w:eastAsia="Calibri" w:hAnsi="Calibri" w:cs="Calibri"/>
        </w:rPr>
        <w:t>normalised</w:t>
      </w:r>
      <w:proofErr w:type="spellEnd"/>
      <w:r>
        <w:rPr>
          <w:rFonts w:ascii="Calibri" w:eastAsia="Calibri" w:hAnsi="Calibri" w:cs="Calibri"/>
        </w:rPr>
        <w:t xml:space="preserve"> to January 2021. Dashed black lines are linear regression of respon</w:t>
      </w:r>
      <w:r>
        <w:rPr>
          <w:rFonts w:ascii="Calibri" w:eastAsia="Calibri" w:hAnsi="Calibri" w:cs="Calibri"/>
        </w:rPr>
        <w:t xml:space="preserve">se for each model. Data are areal averages (see </w:t>
      </w:r>
      <w:r>
        <w:rPr>
          <w:rFonts w:ascii="Calibri" w:eastAsia="Calibri" w:hAnsi="Calibri" w:cs="Calibri"/>
          <w:b/>
        </w:rPr>
        <w:t>Figure 3</w:t>
      </w:r>
      <w:r>
        <w:rPr>
          <w:rFonts w:ascii="Calibri" w:eastAsia="Calibri" w:hAnsi="Calibri" w:cs="Calibri"/>
        </w:rPr>
        <w:t xml:space="preserve"> for areal extent of each region). </w:t>
      </w:r>
      <w:r>
        <w:rPr>
          <w:rFonts w:ascii="Calibri" w:eastAsia="Calibri" w:hAnsi="Calibri" w:cs="Calibri"/>
          <w:b/>
        </w:rPr>
        <w:t>g–l</w:t>
      </w:r>
      <w:r>
        <w:rPr>
          <w:rFonts w:ascii="Calibri" w:eastAsia="Calibri" w:hAnsi="Calibri" w:cs="Calibri"/>
        </w:rPr>
        <w:t xml:space="preserve"> As </w:t>
      </w:r>
      <w:r>
        <w:rPr>
          <w:rFonts w:ascii="Calibri" w:eastAsia="Calibri" w:hAnsi="Calibri" w:cs="Calibri"/>
          <w:b/>
        </w:rPr>
        <w:t>a–f</w:t>
      </w:r>
      <w:r>
        <w:rPr>
          <w:rFonts w:ascii="Calibri" w:eastAsia="Calibri" w:hAnsi="Calibri" w:cs="Calibri"/>
        </w:rPr>
        <w:t xml:space="preserve">, for individual volcanic systems. Data correspond to the bounding pixel for each model (see </w:t>
      </w:r>
      <w:r>
        <w:rPr>
          <w:rFonts w:ascii="Calibri" w:eastAsia="Calibri" w:hAnsi="Calibri" w:cs="Calibri"/>
          <w:b/>
        </w:rPr>
        <w:t>Methods</w:t>
      </w:r>
      <w:r>
        <w:rPr>
          <w:rFonts w:ascii="Calibri" w:eastAsia="Calibri" w:hAnsi="Calibri" w:cs="Calibri"/>
        </w:rPr>
        <w:t xml:space="preserve">). Volcano locations are shown in </w:t>
      </w:r>
      <w:r>
        <w:rPr>
          <w:rFonts w:ascii="Calibri" w:eastAsia="Calibri" w:hAnsi="Calibri" w:cs="Calibri"/>
          <w:b/>
        </w:rPr>
        <w:t>Figure 3</w:t>
      </w:r>
      <w:r>
        <w:rPr>
          <w:rFonts w:ascii="Calibri" w:eastAsia="Calibri" w:hAnsi="Calibri" w:cs="Calibri"/>
        </w:rPr>
        <w:t>.</w:t>
      </w:r>
    </w:p>
    <w:p w14:paraId="405EDD3F" w14:textId="77777777" w:rsidR="0055039A" w:rsidRDefault="003A5537">
      <w:pPr>
        <w:pStyle w:val="Heading3"/>
        <w:spacing w:before="240" w:after="120"/>
        <w:rPr>
          <w:rFonts w:ascii="Times New Roman" w:eastAsia="Times New Roman" w:hAnsi="Times New Roman" w:cs="Times New Roman"/>
        </w:rPr>
      </w:pPr>
      <w:bookmarkStart w:id="5" w:name="_z6mprdt7yzlk" w:colFirst="0" w:colLast="0"/>
      <w:bookmarkEnd w:id="5"/>
      <w:r>
        <w:rPr>
          <w:rFonts w:ascii="Times New Roman" w:eastAsia="Times New Roman" w:hAnsi="Times New Roman" w:cs="Times New Roman"/>
        </w:rPr>
        <w:t>Climate cha</w:t>
      </w:r>
      <w:r>
        <w:rPr>
          <w:rFonts w:ascii="Times New Roman" w:eastAsia="Times New Roman" w:hAnsi="Times New Roman" w:cs="Times New Roman"/>
        </w:rPr>
        <w:t>nge—induced hazards at individual volcanoes</w:t>
      </w:r>
    </w:p>
    <w:p w14:paraId="125A8EC9" w14:textId="77777777" w:rsidR="0055039A" w:rsidRDefault="003A5537">
      <w:pPr>
        <w:rPr>
          <w:strike/>
        </w:rPr>
      </w:pPr>
      <w:r>
        <w:rPr>
          <w:b/>
        </w:rPr>
        <w:t>Figure 4g-l</w:t>
      </w:r>
      <w:r>
        <w:t xml:space="preserve"> presents the forced model responses at the scale of individual volcanic systems: </w:t>
      </w:r>
      <w:proofErr w:type="spellStart"/>
      <w:r>
        <w:t>Guagua</w:t>
      </w:r>
      <w:proofErr w:type="spellEnd"/>
      <w:r>
        <w:t xml:space="preserve"> Pichincha and </w:t>
      </w:r>
      <w:proofErr w:type="spellStart"/>
      <w:r>
        <w:t>Reventador</w:t>
      </w:r>
      <w:proofErr w:type="spellEnd"/>
      <w:r>
        <w:t xml:space="preserve">, Ecuador; </w:t>
      </w:r>
      <w:proofErr w:type="spellStart"/>
      <w:r>
        <w:t>Soufrière</w:t>
      </w:r>
      <w:proofErr w:type="spellEnd"/>
      <w:r>
        <w:t xml:space="preserve"> Hills Volcano, Montserrat; Vesuvius, Italy; </w:t>
      </w:r>
      <w:proofErr w:type="spellStart"/>
      <w:r>
        <w:t>Gunung</w:t>
      </w:r>
      <w:proofErr w:type="spellEnd"/>
      <w:r>
        <w:t xml:space="preserve"> Merapi, Indonesi</w:t>
      </w:r>
      <w:r>
        <w:t xml:space="preserve">a; and Fuego (Chi </w:t>
      </w:r>
      <w:proofErr w:type="spellStart"/>
      <w:r>
        <w:t>Q'aq</w:t>
      </w:r>
      <w:proofErr w:type="spellEnd"/>
      <w:r>
        <w:t xml:space="preserve">'), Guatemala. These six volcanoes are chosen due to particularities of their eruptive histories, each of which illustrates the potential for increased hazard in the face of increased heavy precipitation. At </w:t>
      </w:r>
      <w:proofErr w:type="spellStart"/>
      <w:r>
        <w:t>Guagua</w:t>
      </w:r>
      <w:proofErr w:type="spellEnd"/>
      <w:r>
        <w:t xml:space="preserve"> Pichincha (</w:t>
      </w:r>
      <w:r>
        <w:rPr>
          <w:b/>
        </w:rPr>
        <w:t>Fig. 3a</w:t>
      </w:r>
      <w:r>
        <w:t>,</w:t>
      </w:r>
      <w:r>
        <w:t xml:space="preserve"> </w:t>
      </w:r>
      <w:r>
        <w:rPr>
          <w:b/>
        </w:rPr>
        <w:t>Fig. 4g</w:t>
      </w:r>
      <w:r>
        <w:t xml:space="preserve">), cycles of explosivity have been anecdotally attributed to the timing of the rainy season (GVP 1993). A violent explosive eruption in 1993, triggered by “abnormally high” rainfall, resulted in the death of two volcanologists.  </w:t>
      </w:r>
      <w:proofErr w:type="spellStart"/>
      <w:r>
        <w:t>Reventador</w:t>
      </w:r>
      <w:proofErr w:type="spellEnd"/>
      <w:r>
        <w:t xml:space="preserve"> (</w:t>
      </w:r>
      <w:r>
        <w:rPr>
          <w:b/>
        </w:rPr>
        <w:t>Fig. 3a</w:t>
      </w:r>
      <w:r>
        <w:t xml:space="preserve">, </w:t>
      </w:r>
      <w:r>
        <w:rPr>
          <w:b/>
        </w:rPr>
        <w:t>Fig. 4h</w:t>
      </w:r>
      <w:r>
        <w:t xml:space="preserve">), one of the most active volcanoes in Ecuador,  is situated in a cloud-forest region already </w:t>
      </w:r>
      <w:proofErr w:type="spellStart"/>
      <w:r>
        <w:t>characterised</w:t>
      </w:r>
      <w:proofErr w:type="spellEnd"/>
      <w:r>
        <w:t xml:space="preserve"> by extremely heavy rainfall. Combined with its steep slopes (Grosse et al), these factors contribute to the generation of frequent, often d</w:t>
      </w:r>
      <w:r>
        <w:t xml:space="preserve">estructive, lahars. </w:t>
      </w:r>
      <w:r>
        <w:rPr>
          <w:color w:val="FF00FF"/>
        </w:rPr>
        <w:t xml:space="preserve">An analysis of </w:t>
      </w:r>
      <w:proofErr w:type="spellStart"/>
      <w:r>
        <w:rPr>
          <w:color w:val="FF00FF"/>
        </w:rPr>
        <w:t>Reventador’s</w:t>
      </w:r>
      <w:proofErr w:type="spellEnd"/>
      <w:r>
        <w:rPr>
          <w:color w:val="FF00FF"/>
        </w:rPr>
        <w:t xml:space="preserve"> historical eruption catalogue indicates a tendency towards erupting between December and May, when the volcano receives the majority of its annual rainfall</w:t>
      </w:r>
      <w:r>
        <w:t xml:space="preserve">. </w:t>
      </w:r>
      <w:proofErr w:type="spellStart"/>
      <w:r>
        <w:t>Soufrière</w:t>
      </w:r>
      <w:proofErr w:type="spellEnd"/>
      <w:r>
        <w:t xml:space="preserve"> Hills Volcano (</w:t>
      </w:r>
      <w:r>
        <w:rPr>
          <w:b/>
        </w:rPr>
        <w:t>Fig. 3a</w:t>
      </w:r>
      <w:r>
        <w:t xml:space="preserve">, </w:t>
      </w:r>
      <w:r>
        <w:rPr>
          <w:b/>
        </w:rPr>
        <w:t>Fig. 4i</w:t>
      </w:r>
      <w:r>
        <w:t xml:space="preserve">)  is </w:t>
      </w:r>
      <w:proofErr w:type="spellStart"/>
      <w:r>
        <w:t>char</w:t>
      </w:r>
      <w:r>
        <w:t>acterised</w:t>
      </w:r>
      <w:proofErr w:type="spellEnd"/>
      <w:r>
        <w:t xml:space="preserve"> by sensitivity to heavy rainfall: not only does lahar probability scale directly with rainfall intensity (Jones et al.), but triggered primary volcanic activity has been reported frequently (Matthews et al., 2002, 2007; </w:t>
      </w:r>
      <w:proofErr w:type="spellStart"/>
      <w:r>
        <w:t>Carn</w:t>
      </w:r>
      <w:proofErr w:type="spellEnd"/>
      <w:r>
        <w:t xml:space="preserve"> et al., 2004; Matthew</w:t>
      </w:r>
      <w:r>
        <w:t>s and Barclay, 2004; Barclay et al., 2006; Taron et al., 2007; Hicks et al., 2010). At Vesuvius (</w:t>
      </w:r>
      <w:r>
        <w:rPr>
          <w:b/>
        </w:rPr>
        <w:t>Fig. 3a</w:t>
      </w:r>
      <w:r>
        <w:t xml:space="preserve">, </w:t>
      </w:r>
      <w:r>
        <w:rPr>
          <w:b/>
        </w:rPr>
        <w:t>Fig. 4j</w:t>
      </w:r>
      <w:r>
        <w:t>), textural, geochemical, and anecdotal evidence of external water—possibly of meteoric origin—exists for several previous large eruptions (Sca</w:t>
      </w:r>
      <w:r>
        <w:t xml:space="preserve">ndone et al; 1993; </w:t>
      </w:r>
      <w:proofErr w:type="spellStart"/>
      <w:r>
        <w:t>Rolandi</w:t>
      </w:r>
      <w:proofErr w:type="spellEnd"/>
      <w:r>
        <w:t xml:space="preserve"> et al. 1993). As with </w:t>
      </w:r>
      <w:proofErr w:type="spellStart"/>
      <w:r>
        <w:t>Reventador</w:t>
      </w:r>
      <w:proofErr w:type="spellEnd"/>
      <w:r>
        <w:t xml:space="preserve">, </w:t>
      </w:r>
      <w:r>
        <w:rPr>
          <w:color w:val="FF00FF"/>
        </w:rPr>
        <w:t>we note a significant tendency for large historic eruptions to occur between July and December (the wettest time of year)</w:t>
      </w:r>
      <w:r>
        <w:t xml:space="preserve">. </w:t>
      </w:r>
      <w:r>
        <w:rPr>
          <w:color w:val="FF00FF"/>
        </w:rPr>
        <w:t>In 1998</w:t>
      </w:r>
      <w:r>
        <w:t xml:space="preserve">, a protracted period of extreme rainfall </w:t>
      </w:r>
      <w:proofErr w:type="spellStart"/>
      <w:r>
        <w:t>mobilised</w:t>
      </w:r>
      <w:proofErr w:type="spellEnd"/>
      <w:r>
        <w:t xml:space="preserve"> pyroclastic d</w:t>
      </w:r>
      <w:r>
        <w:t xml:space="preserve">ebris from Vesuvius and the </w:t>
      </w:r>
      <w:proofErr w:type="spellStart"/>
      <w:r>
        <w:t>Campi</w:t>
      </w:r>
      <w:proofErr w:type="spellEnd"/>
      <w:r>
        <w:t xml:space="preserve"> </w:t>
      </w:r>
      <w:proofErr w:type="spellStart"/>
      <w:r>
        <w:t>Flegrei</w:t>
      </w:r>
      <w:proofErr w:type="spellEnd"/>
      <w:r>
        <w:t xml:space="preserve"> systems and generated devastating debris flows, resulting in 160 fatalities with many more injured or displaced (</w:t>
      </w:r>
      <w:proofErr w:type="spellStart"/>
      <w:r>
        <w:t>Brondi</w:t>
      </w:r>
      <w:proofErr w:type="spellEnd"/>
      <w:r>
        <w:t xml:space="preserve"> &amp; </w:t>
      </w:r>
      <w:proofErr w:type="spellStart"/>
      <w:r>
        <w:t>Salvatori</w:t>
      </w:r>
      <w:proofErr w:type="spellEnd"/>
      <w:r>
        <w:t xml:space="preserve"> 2003). A statistical correlation between intense rainfall and explosive dome colla</w:t>
      </w:r>
      <w:r>
        <w:t xml:space="preserve">pse has been reported at </w:t>
      </w:r>
      <w:proofErr w:type="spellStart"/>
      <w:r>
        <w:t>Gunung</w:t>
      </w:r>
      <w:proofErr w:type="spellEnd"/>
      <w:r>
        <w:t xml:space="preserve"> Merapi (</w:t>
      </w:r>
      <w:r>
        <w:rPr>
          <w:b/>
        </w:rPr>
        <w:t>Fig. 3a</w:t>
      </w:r>
      <w:r>
        <w:t xml:space="preserve">, </w:t>
      </w:r>
      <w:r>
        <w:rPr>
          <w:b/>
        </w:rPr>
        <w:t>Fig. 4k</w:t>
      </w:r>
      <w:r>
        <w:t xml:space="preserve">) (Voight et al. 2000). The risk of lahars at Merapi—invariably </w:t>
      </w:r>
      <w:r>
        <w:lastRenderedPageBreak/>
        <w:t>driven by rainfall (Lavigne et al. 2000)—is substantial, with lahar deposits covering an area of almost 300 km</w:t>
      </w:r>
      <w:r>
        <w:rPr>
          <w:vertAlign w:val="superscript"/>
        </w:rPr>
        <w:t>2</w:t>
      </w:r>
      <w:r>
        <w:t xml:space="preserve"> in the region. </w:t>
      </w:r>
      <w:r>
        <w:rPr>
          <w:strike/>
        </w:rPr>
        <w:t>In the 19</w:t>
      </w:r>
      <w:r>
        <w:rPr>
          <w:strike/>
        </w:rPr>
        <w:t xml:space="preserve">00s, </w:t>
      </w:r>
      <w:proofErr w:type="spellStart"/>
      <w:r>
        <w:rPr>
          <w:strike/>
        </w:rPr>
        <w:t>r</w:t>
      </w:r>
      <w:r>
        <w:rPr>
          <w:color w:val="FF00FF"/>
        </w:rPr>
        <w:t>R</w:t>
      </w:r>
      <w:r>
        <w:t>ainfall</w:t>
      </w:r>
      <w:proofErr w:type="spellEnd"/>
      <w:r>
        <w:t xml:space="preserve">-triggered lahars at Merapi </w:t>
      </w:r>
      <w:r>
        <w:rPr>
          <w:color w:val="FF00FF"/>
        </w:rPr>
        <w:t>have been responsible for many deaths</w:t>
      </w:r>
      <w:r>
        <w:t xml:space="preserve"> </w:t>
      </w:r>
      <w:r>
        <w:rPr>
          <w:strike/>
        </w:rPr>
        <w:t xml:space="preserve">were responsible for at least 76 deaths </w:t>
      </w:r>
      <w:r>
        <w:t>and the destruction of thousands of homes.  Finally, at Fuego (</w:t>
      </w:r>
      <w:r>
        <w:rPr>
          <w:b/>
        </w:rPr>
        <w:t>Fig. 3a</w:t>
      </w:r>
      <w:r>
        <w:t xml:space="preserve">, </w:t>
      </w:r>
      <w:r>
        <w:rPr>
          <w:b/>
        </w:rPr>
        <w:t>Fig. 4l</w:t>
      </w:r>
      <w:r>
        <w:t>), heavy rainfall has been attributed to a host of erupti</w:t>
      </w:r>
      <w:r>
        <w:t xml:space="preserve">ve and non-eruptive hazards, triggering plume emissions, seismic activity, and tilt changes (GVP 1987), as well being directly related to frequently triggered lahars. </w:t>
      </w:r>
      <w:r>
        <w:rPr>
          <w:color w:val="FF00FF"/>
        </w:rPr>
        <w:t>With climate models almost exclusively projecting an increase in heavy precipitation with</w:t>
      </w:r>
      <w:r>
        <w:rPr>
          <w:color w:val="FF00FF"/>
        </w:rPr>
        <w:t xml:space="preserve"> continued warming for each of these systems, it is probable that the already substantial risk to people, property, and infrastructure at these systems will be further amplified in the coming decades.</w:t>
      </w:r>
    </w:p>
    <w:p w14:paraId="372460C7" w14:textId="77777777" w:rsidR="0055039A" w:rsidRDefault="003A5537">
      <w:pPr>
        <w:pStyle w:val="Heading3"/>
        <w:rPr>
          <w:rFonts w:ascii="Times New Roman" w:eastAsia="Times New Roman" w:hAnsi="Times New Roman" w:cs="Times New Roman"/>
        </w:rPr>
      </w:pPr>
      <w:bookmarkStart w:id="6" w:name="_yvqbkulr0pr7" w:colFirst="0" w:colLast="0"/>
      <w:bookmarkEnd w:id="6"/>
      <w:r>
        <w:t>Perspectives</w:t>
      </w:r>
    </w:p>
    <w:p w14:paraId="09A18F22" w14:textId="77777777" w:rsidR="0055039A" w:rsidRDefault="003A5537">
      <w:pPr>
        <w:keepNext/>
        <w:spacing w:before="240" w:after="120"/>
        <w:rPr>
          <w:color w:val="FF00FF"/>
        </w:rPr>
      </w:pPr>
      <w:r>
        <w:t xml:space="preserve">In summary, we find </w:t>
      </w:r>
      <w:r>
        <w:t xml:space="preserve">that the majority of Holocene-active subaerial volcanic systems (768 volcanoes: 59 %) are confidently projected to experience more extreme rainfall as global temperatures continue to rise. Moreover, in some volcanic areas, </w:t>
      </w:r>
      <w:r>
        <w:rPr>
          <w:color w:val="FF00FF"/>
        </w:rPr>
        <w:t xml:space="preserve">heavy precipitation is </w:t>
      </w:r>
      <w:r>
        <w:t xml:space="preserve">projected </w:t>
      </w:r>
      <w:r>
        <w:t xml:space="preserve">to increase by as much as 46 % relative to the 2006 value for every degree of warming experienced over the next 80 years. For another 32 % of volcanoes globally (in particular at mid-latitudes), there is not sufficient inter-model consensus to confidently </w:t>
      </w:r>
      <w:r>
        <w:t>estimate whether rainfall will become more or less extreme in the future. Ultimately</w:t>
      </w:r>
      <w:r>
        <w:rPr>
          <w:color w:val="FF00FF"/>
        </w:rPr>
        <w:t>, these results point to</w:t>
      </w:r>
      <w:r>
        <w:t xml:space="preserve"> significant attendant implications for rainfall-related hazards </w:t>
      </w:r>
      <w:r>
        <w:rPr>
          <w:color w:val="FF00FF"/>
        </w:rPr>
        <w:t>at most of Earth’s subaerial volcanic</w:t>
      </w:r>
      <w:r>
        <w:t xml:space="preserve"> systems. </w:t>
      </w:r>
    </w:p>
    <w:p w14:paraId="15FCC0DA" w14:textId="77777777" w:rsidR="0055039A" w:rsidRDefault="003A5537">
      <w:pPr>
        <w:keepNext/>
        <w:spacing w:before="240" w:after="120"/>
        <w:rPr>
          <w:strike/>
        </w:rPr>
      </w:pPr>
      <w:r>
        <w:rPr>
          <w:color w:val="FF00FF"/>
        </w:rPr>
        <w:t>M</w:t>
      </w:r>
      <w:r>
        <w:t>ultidecadal catalogue</w:t>
      </w:r>
      <w:r>
        <w:rPr>
          <w:color w:val="FF00FF"/>
        </w:rPr>
        <w:t>s</w:t>
      </w:r>
      <w:r>
        <w:t xml:space="preserve"> of reports </w:t>
      </w:r>
      <w:r>
        <w:t xml:space="preserve">of volcanic activity reveal that rainfall has historically triggered, facilitated, or worsened primary </w:t>
      </w:r>
      <w:r>
        <w:rPr>
          <w:color w:val="FF00FF"/>
        </w:rPr>
        <w:t>volcanic activity</w:t>
      </w:r>
      <w:r>
        <w:t xml:space="preserve"> </w:t>
      </w:r>
      <w:proofErr w:type="spellStart"/>
      <w:r>
        <w:rPr>
          <w:color w:val="FF00FF"/>
        </w:rPr>
        <w:t>or</w:t>
      </w:r>
      <w:r>
        <w:rPr>
          <w:strike/>
        </w:rPr>
        <w:t>and</w:t>
      </w:r>
      <w:proofErr w:type="spellEnd"/>
      <w:r>
        <w:t xml:space="preserve"> secondary </w:t>
      </w:r>
      <w:r>
        <w:rPr>
          <w:strike/>
        </w:rPr>
        <w:t>volcanic</w:t>
      </w:r>
      <w:r>
        <w:t xml:space="preserve"> hazards at over 170 subaerial volcanoes; a strong reminder that the influence of the hydrological cycle in vol</w:t>
      </w:r>
      <w:r>
        <w:t xml:space="preserve">canic systems can be substantial. This link </w:t>
      </w:r>
      <w:proofErr w:type="spellStart"/>
      <w:r>
        <w:t>emphasises</w:t>
      </w:r>
      <w:proofErr w:type="spellEnd"/>
      <w:r>
        <w:t xml:space="preserve"> the importance of considering rainfall in the development of hazard mitigation strategies (e.g. </w:t>
      </w:r>
      <w:proofErr w:type="spellStart"/>
      <w:r>
        <w:t>Marcial</w:t>
      </w:r>
      <w:proofErr w:type="spellEnd"/>
      <w:r>
        <w:t xml:space="preserve"> et al., 1996; Pierson et al., 2014; Jones et al., 2017), and also underscores the importance of d</w:t>
      </w:r>
      <w:r>
        <w:t xml:space="preserve">eveloping novel instrumental monitoring systems (e.g. </w:t>
      </w:r>
      <w:proofErr w:type="spellStart"/>
      <w:r>
        <w:t>Nagatani</w:t>
      </w:r>
      <w:proofErr w:type="spellEnd"/>
      <w:r>
        <w:t xml:space="preserve"> et al., 2017; Sanderson et al., 2018). </w:t>
      </w:r>
      <w:r>
        <w:rPr>
          <w:color w:val="FF00FF"/>
        </w:rPr>
        <w:t>The incorporation of meteorological data into volcano monitoring systems has seen some limited adoption (GVP 2011); nevertheless, meteorological data is f</w:t>
      </w:r>
      <w:r>
        <w:rPr>
          <w:color w:val="FF00FF"/>
        </w:rPr>
        <w:t>ar from being a standard monitoring tool.</w:t>
      </w:r>
    </w:p>
    <w:p w14:paraId="1C7F3933" w14:textId="77777777" w:rsidR="0055039A" w:rsidRDefault="003A5537">
      <w:pPr>
        <w:keepNext/>
        <w:pBdr>
          <w:top w:val="nil"/>
          <w:left w:val="nil"/>
          <w:bottom w:val="nil"/>
          <w:right w:val="nil"/>
          <w:between w:val="nil"/>
        </w:pBdr>
        <w:spacing w:before="240" w:after="120"/>
        <w:ind w:firstLine="720"/>
        <w:rPr>
          <w:strike/>
        </w:rPr>
      </w:pPr>
      <w:r>
        <w:rPr>
          <w:color w:val="FF00FF"/>
        </w:rPr>
        <w:t>W</w:t>
      </w:r>
      <w:r>
        <w:t xml:space="preserve">hile much </w:t>
      </w:r>
      <w:r>
        <w:rPr>
          <w:color w:val="FF0000"/>
        </w:rPr>
        <w:t>previous</w:t>
      </w:r>
      <w:r>
        <w:t xml:space="preserve"> emphasis has been placed on the effect of climate change on tropical volcanoes (e.g. McGuire 2010b), we highlight that an increase in heavy precipitation is projected to occur with warming in ma</w:t>
      </w:r>
      <w:r>
        <w:t xml:space="preserve">ny polar and temperate volcanic regions as well, including the Aleutian Arc,  Western USA and Canada, and Antarctica and the South Sandwich Islands, as well as arid regions such as north Africa (supplementary material). </w:t>
      </w:r>
      <w:bookmarkStart w:id="7" w:name="_GoBack"/>
      <w:r>
        <w:rPr>
          <w:color w:val="FF00FF"/>
        </w:rPr>
        <w:t>In resolving cross-model agreement a</w:t>
      </w:r>
      <w:r>
        <w:rPr>
          <w:color w:val="FF00FF"/>
        </w:rPr>
        <w:t>t regional and local scales relevant for volcanic hazard, we demonstrate an explicit, geographically widespread link between global warming scenarios and the potential for increased volcanic hazard.</w:t>
      </w:r>
      <w:r>
        <w:t xml:space="preserve"> </w:t>
      </w:r>
      <w:bookmarkEnd w:id="7"/>
      <w:r>
        <w:t xml:space="preserve"> </w:t>
      </w:r>
      <w:r>
        <w:rPr>
          <w:strike/>
        </w:rPr>
        <w:t>The geographic spread of potentially vulnerable volcanic</w:t>
      </w:r>
      <w:r>
        <w:rPr>
          <w:strike/>
        </w:rPr>
        <w:t xml:space="preserve"> systems illustrates the global impact of continued climate change. However, the potential for similar hazards in different locations opens the door for effective policy </w:t>
      </w:r>
      <w:proofErr w:type="spellStart"/>
      <w:r>
        <w:rPr>
          <w:strike/>
        </w:rPr>
        <w:t>mobilisation</w:t>
      </w:r>
      <w:proofErr w:type="spellEnd"/>
      <w:r>
        <w:rPr>
          <w:strike/>
        </w:rPr>
        <w:t xml:space="preserve">: detailed risk mitigation plans devised for </w:t>
      </w:r>
      <w:r>
        <w:rPr>
          <w:strike/>
          <w:color w:val="FF00FF"/>
        </w:rPr>
        <w:t>well-studied and well-instrum</w:t>
      </w:r>
      <w:r>
        <w:rPr>
          <w:strike/>
          <w:color w:val="FF00FF"/>
        </w:rPr>
        <w:t xml:space="preserve">ented volcanoes </w:t>
      </w:r>
      <w:r>
        <w:rPr>
          <w:strike/>
        </w:rPr>
        <w:t>may serve to inform policy in other similarly prone volcanic areas (Sinclair 2019).</w:t>
      </w:r>
      <w:r>
        <w:t xml:space="preserve"> We have not accounted for the influence of global warming on the dynamics of eruption plumes (</w:t>
      </w:r>
      <w:proofErr w:type="spellStart"/>
      <w:r>
        <w:t>Aubry</w:t>
      </w:r>
      <w:proofErr w:type="spellEnd"/>
      <w:r>
        <w:t xml:space="preserve"> et al., 2016), nor for the proposed orographic feedback </w:t>
      </w:r>
      <w:r>
        <w:t>between heated volcanic summits and precipitation (</w:t>
      </w:r>
      <w:proofErr w:type="spellStart"/>
      <w:r>
        <w:t>Poulidis</w:t>
      </w:r>
      <w:proofErr w:type="spellEnd"/>
      <w:r>
        <w:t xml:space="preserve"> et al., 2016) which may serve to further exacerbate the influence of rainfall in volcanic regions. </w:t>
      </w:r>
      <w:r>
        <w:rPr>
          <w:color w:val="FF00FF"/>
        </w:rPr>
        <w:t>We highlight that broader feedback mechanisms have been proposed, including climate change—induce</w:t>
      </w:r>
      <w:r>
        <w:rPr>
          <w:color w:val="FF00FF"/>
        </w:rPr>
        <w:t xml:space="preserve">d </w:t>
      </w:r>
      <w:r>
        <w:rPr>
          <w:rFonts w:ascii="Times New Roman" w:eastAsia="Times New Roman" w:hAnsi="Times New Roman" w:cs="Times New Roman"/>
          <w:color w:val="FF00FF"/>
          <w:sz w:val="24"/>
          <w:szCs w:val="24"/>
        </w:rPr>
        <w:t xml:space="preserve">perturbations in crustal stress caused by ice-sheet and glacier wastage (McGuire et al 2010), changes to axial and spin-rate of the Earth and </w:t>
      </w:r>
      <w:r>
        <w:rPr>
          <w:rFonts w:ascii="Times New Roman" w:eastAsia="Times New Roman" w:hAnsi="Times New Roman" w:cs="Times New Roman"/>
          <w:color w:val="FF00FF"/>
          <w:sz w:val="24"/>
          <w:szCs w:val="24"/>
        </w:rPr>
        <w:lastRenderedPageBreak/>
        <w:t>realignment of the geoid (</w:t>
      </w:r>
      <w:proofErr w:type="spellStart"/>
      <w:r>
        <w:rPr>
          <w:rFonts w:ascii="Times New Roman" w:eastAsia="Times New Roman" w:hAnsi="Times New Roman" w:cs="Times New Roman"/>
          <w:color w:val="FF00FF"/>
          <w:sz w:val="24"/>
          <w:szCs w:val="24"/>
        </w:rPr>
        <w:t>Rampino</w:t>
      </w:r>
      <w:proofErr w:type="spellEnd"/>
      <w:r>
        <w:rPr>
          <w:rFonts w:ascii="Times New Roman" w:eastAsia="Times New Roman" w:hAnsi="Times New Roman" w:cs="Times New Roman"/>
          <w:color w:val="FF00FF"/>
          <w:sz w:val="24"/>
          <w:szCs w:val="24"/>
        </w:rPr>
        <w:t xml:space="preserve"> et al. 1979, Anderson 1974), and rising sea levels (McGuire et al. 1997), each</w:t>
      </w:r>
      <w:r>
        <w:rPr>
          <w:rFonts w:ascii="Times New Roman" w:eastAsia="Times New Roman" w:hAnsi="Times New Roman" w:cs="Times New Roman"/>
          <w:color w:val="FF00FF"/>
          <w:sz w:val="24"/>
          <w:szCs w:val="24"/>
        </w:rPr>
        <w:t xml:space="preserve"> of which have the potential to trigger subaerial volcanism. </w:t>
      </w:r>
    </w:p>
    <w:p w14:paraId="57C21060" w14:textId="77777777" w:rsidR="0055039A" w:rsidRDefault="003A5537">
      <w:pPr>
        <w:keepNext/>
        <w:pBdr>
          <w:top w:val="nil"/>
          <w:left w:val="nil"/>
          <w:bottom w:val="nil"/>
          <w:right w:val="nil"/>
          <w:between w:val="nil"/>
        </w:pBdr>
        <w:spacing w:before="240" w:after="120"/>
        <w:ind w:firstLine="720"/>
      </w:pPr>
      <w:r>
        <w:rPr>
          <w:noProof/>
        </w:rPr>
        <w:pict w14:anchorId="78A18B19">
          <v:rect id="_x0000_i1025" alt="" style="width:468pt;height:.05pt;mso-width-percent:0;mso-height-percent:0;mso-width-percent:0;mso-height-percent:0" o:hralign="center" o:hrstd="t" o:hr="t" fillcolor="#a0a0a0" stroked="f"/>
        </w:pict>
      </w:r>
    </w:p>
    <w:p w14:paraId="4AFB0B37" w14:textId="77777777" w:rsidR="0055039A" w:rsidRDefault="0055039A">
      <w:pPr>
        <w:keepNext/>
        <w:pBdr>
          <w:top w:val="nil"/>
          <w:left w:val="nil"/>
          <w:bottom w:val="nil"/>
          <w:right w:val="nil"/>
          <w:between w:val="nil"/>
        </w:pBdr>
        <w:spacing w:before="240" w:after="120"/>
        <w:ind w:firstLine="720"/>
      </w:pPr>
    </w:p>
    <w:p w14:paraId="1BEA1CBE" w14:textId="77777777" w:rsidR="0055039A" w:rsidRDefault="003A5537">
      <w:pPr>
        <w:pStyle w:val="Heading3"/>
        <w:spacing w:before="240" w:after="120"/>
        <w:ind w:firstLine="720"/>
      </w:pPr>
      <w:bookmarkStart w:id="8" w:name="_f51szv5et2vi" w:colFirst="0" w:colLast="0"/>
      <w:bookmarkEnd w:id="8"/>
      <w:r>
        <w:t>Methods</w:t>
      </w:r>
    </w:p>
    <w:p w14:paraId="7F5D5DBE" w14:textId="77777777" w:rsidR="0055039A" w:rsidRDefault="003A5537">
      <w:pPr>
        <w:pStyle w:val="Heading4"/>
      </w:pPr>
      <w:bookmarkStart w:id="9" w:name="_ge9uua58wxzf" w:colFirst="0" w:colLast="0"/>
      <w:bookmarkEnd w:id="9"/>
      <w:r>
        <w:t>Textual analysis of Bulletin Reports</w:t>
      </w:r>
    </w:p>
    <w:p w14:paraId="3BE22F1F" w14:textId="77777777" w:rsidR="0055039A" w:rsidRDefault="003A5537">
      <w:pPr>
        <w:keepNext/>
        <w:spacing w:before="240" w:after="120"/>
      </w:pPr>
      <w:r>
        <w:t>Geolocation data for Earth’s subaerial volcanoes are obtained from the Smithsonian’s Global Volcanism Program (GVP) databases (GVP, 2013) using the GVP webservices interface [</w:t>
      </w:r>
      <w:hyperlink r:id="rId15">
        <w:r>
          <w:rPr>
            <w:color w:val="0000FF"/>
            <w:u w:val="single"/>
          </w:rPr>
          <w:t>https://doi.org/10.5</w:t>
        </w:r>
        <w:r>
          <w:rPr>
            <w:color w:val="0000FF"/>
            <w:u w:val="single"/>
          </w:rPr>
          <w:t>479/si.GVP.VOTW4-2013</w:t>
        </w:r>
      </w:hyperlink>
      <w:r>
        <w:t>]. We concentrate on volcanic systems active in the Holocene (discounting volcanoes defined as primarily submarine or subglacial): 1296 volcanoes. The prior association of any particular volcano with rainfall-related volcanic hazard wa</w:t>
      </w:r>
      <w:r>
        <w:t>s determined by programmatically querying the catalogue GVP Bulletin Reports for the (case-insensitive) string literals “lahar”, “heavy rain”, “rainfall-triggered”, “rainfall-induced”, and “extreme rainfall”. The crawled reports were then manually parsed t</w:t>
      </w:r>
      <w:r>
        <w:t>o identify volcanoes with previous evidence for volcanic hazard caused or exacerbated by rainfall, and to remove reports where rainfall was mentioned in non-hazard contexts (for example, reports on the effect of rainfall on monitoring equipment or the volc</w:t>
      </w:r>
      <w:r>
        <w:t>anic system that do not constitute a clear hazard, geographical background descriptions, or observational and logistical difficulties associated with inclement weather). The remaining catalogue refers specifically to hazards associated with heightened rain</w:t>
      </w:r>
      <w:r>
        <w:t>fall activity</w:t>
      </w:r>
      <w:r>
        <w:rPr>
          <w:strike/>
        </w:rPr>
        <w:t>, including</w:t>
      </w:r>
      <w:r>
        <w:t>: steam explosions; the instigation of lahars and mudflows; column collapse and pyroclastic density current generation; landslides, rockfalls, and other mass wasting events; flooding due to crater lake overflow; and triggered primar</w:t>
      </w:r>
      <w:r>
        <w:t xml:space="preserve">y volcanic activity. </w:t>
      </w:r>
    </w:p>
    <w:p w14:paraId="6F367DB8" w14:textId="77777777" w:rsidR="0055039A" w:rsidRDefault="003A5537">
      <w:pPr>
        <w:pStyle w:val="Heading4"/>
      </w:pPr>
      <w:bookmarkStart w:id="10" w:name="_cs2wiu6ftr7t" w:colFirst="0" w:colLast="0"/>
      <w:bookmarkEnd w:id="10"/>
      <w:r>
        <w:t>Forced model response</w:t>
      </w:r>
    </w:p>
    <w:p w14:paraId="1881E44C" w14:textId="77777777" w:rsidR="0055039A" w:rsidRDefault="003A5537">
      <w:pPr>
        <w:keepNext/>
        <w:spacing w:before="240" w:after="120"/>
      </w:pPr>
      <w:r>
        <w:t xml:space="preserve">Ensemble climate projection experiment data were obtained from the Coupled Model </w:t>
      </w:r>
      <w:proofErr w:type="spellStart"/>
      <w:r>
        <w:t>Intercomparison</w:t>
      </w:r>
      <w:proofErr w:type="spellEnd"/>
      <w:r>
        <w:t xml:space="preserve"> Project Phase 5 (CMIP5). We use data from nine separate models, listed in Table 1, each of which follow the Represe</w:t>
      </w:r>
      <w:r>
        <w:t>ntative Concentration Pathway (RCP) 8.5 scenario. The total period covered by the selected data is from 2005 or 2006 to 2100. For comparability, we use models from ensemble r1i1p1 only, at a monthly frequency. For each model and each year over the modelled</w:t>
      </w:r>
      <w:r>
        <w:t xml:space="preserve"> period, we calculate the mean global temperature </w:t>
      </w:r>
      <m:oMath>
        <m:r>
          <w:rPr>
            <w:rFonts w:ascii="Cambria Math" w:hAnsi="Cambria Math"/>
          </w:rPr>
          <m:t>〈</m:t>
        </m:r>
        <m:r>
          <w:rPr>
            <w:rFonts w:ascii="Cambria Math" w:hAnsi="Cambria Math"/>
          </w:rPr>
          <m:t>T</m:t>
        </m:r>
        <m:r>
          <w:rPr>
            <w:rFonts w:ascii="Cambria Math" w:hAnsi="Cambria Math"/>
          </w:rPr>
          <m:t>〉</m:t>
        </m:r>
      </m:oMath>
      <w:r>
        <w:t xml:space="preserve"> timeseries and the maximum monthly rainfall value </w:t>
      </w:r>
      <m:oMath>
        <m:r>
          <w:rPr>
            <w:rFonts w:ascii="Cambria Math" w:hAnsi="Cambria Math"/>
          </w:rPr>
          <m:t>RXm</m:t>
        </m:r>
      </m:oMath>
      <w:r>
        <w:t xml:space="preserve"> </w:t>
      </w:r>
      <w:r>
        <w:t xml:space="preserve">for each grid cell. The forced model response (FMR) is calculated as the slope of a linear regression of these parameters </w:t>
      </w:r>
      <w:proofErr w:type="spellStart"/>
      <w:r>
        <w:t>normalised</w:t>
      </w:r>
      <w:proofErr w:type="spellEnd"/>
      <w:r>
        <w:t xml:space="preserve"> to 01-Jan-2006 (Figures 1 and 2) or 01-Jan-2021 (Figures 3 and 4) . The resulting 2D array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where </w:t>
      </w:r>
      <m:oMath>
        <m:r>
          <w:rPr>
            <w:rFonts w:ascii="Cambria Math" w:hAnsi="Cambria Math"/>
          </w:rPr>
          <m:t>k</m:t>
        </m:r>
      </m:oMath>
      <w:r>
        <w:t xml:space="preserve"> is the number of </w:t>
      </w:r>
      <w:r>
        <w:t>the model, has dimensions dependent on the initial spatial resolution of the model experiments (</w:t>
      </w:r>
      <w:r>
        <w:rPr>
          <w:b/>
        </w:rPr>
        <w:t>Table 1</w:t>
      </w:r>
      <w:r>
        <w:t xml:space="preserve">). For each model </w:t>
      </w:r>
      <w:r>
        <w:rPr>
          <w:i/>
        </w:rPr>
        <w:t>k</w:t>
      </w:r>
      <w:r>
        <w:t xml:space="preserve">, the value of each cell at latitude </w:t>
      </w:r>
      <m:oMath>
        <m:r>
          <w:rPr>
            <w:rFonts w:ascii="Cambria Math" w:hAnsi="Cambria Math"/>
          </w:rPr>
          <m:t>i</m:t>
        </m:r>
        <m:r>
          <w:rPr>
            <w:rFonts w:ascii="Cambria Math" w:hAnsi="Cambria Math"/>
          </w:rPr>
          <m:t xml:space="preserve"> </m:t>
        </m:r>
      </m:oMath>
      <w:r>
        <w:t xml:space="preserve">and longitude </w:t>
      </w:r>
      <m:oMath>
        <m:r>
          <w:rPr>
            <w:rFonts w:ascii="Cambria Math" w:hAnsi="Cambria Math"/>
          </w:rPr>
          <m:t>j</m:t>
        </m:r>
      </m:oMath>
      <w:r>
        <w:t xml:space="preserve"> is binarized such that </w:t>
      </w:r>
      <m:oMath>
        <m:sSub>
          <m:sSubPr>
            <m:ctrlPr>
              <w:rPr>
                <w:rFonts w:ascii="Cambria Math" w:hAnsi="Cambria Math"/>
              </w:rPr>
            </m:ctrlPr>
          </m:sSubPr>
          <m:e>
            <m:r>
              <w:rPr>
                <w:rFonts w:ascii="Cambria Math" w:hAnsi="Cambria Math"/>
              </w:rPr>
              <m:t>B</m:t>
            </m:r>
          </m:e>
          <m:sub>
            <m:r>
              <w:rPr>
                <w:rFonts w:ascii="Cambria Math" w:hAnsi="Cambria Math"/>
              </w:rPr>
              <m:t>ijk</m:t>
            </m:r>
          </m:sub>
        </m:sSub>
        <m:r>
          <w:rPr>
            <w:rFonts w:ascii="Cambria Math" w:hAnsi="Cambria Math"/>
          </w:rPr>
          <m:t>=</m:t>
        </m:r>
        <m:r>
          <w:rPr>
            <w:rFonts w:ascii="Cambria Math" w:hAnsi="Cambria Math"/>
          </w:rPr>
          <m:t>H</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ijk</m:t>
            </m:r>
          </m:sub>
        </m:sSub>
        <m:r>
          <w:rPr>
            <w:rFonts w:ascii="Cambria Math" w:hAnsi="Cambria Math"/>
          </w:rPr>
          <m:t>)</m:t>
        </m:r>
      </m:oMath>
      <w:r>
        <w:t xml:space="preserve"> where </w:t>
      </w:r>
      <m:oMath>
        <m:r>
          <w:rPr>
            <w:rFonts w:ascii="Cambria Math" w:hAnsi="Cambria Math"/>
          </w:rPr>
          <m:t>H</m:t>
        </m:r>
        <m:r>
          <w:rPr>
            <w:rFonts w:ascii="Cambria Math" w:hAnsi="Cambria Math"/>
          </w:rPr>
          <m:t>(</m:t>
        </m:r>
        <m:r>
          <w:rPr>
            <w:rFonts w:ascii="Cambria Math" w:hAnsi="Cambria Math"/>
          </w:rPr>
          <m:t>x</m:t>
        </m:r>
        <m:r>
          <w:rPr>
            <w:rFonts w:ascii="Cambria Math" w:hAnsi="Cambria Math"/>
          </w:rPr>
          <m:t>)</m:t>
        </m:r>
      </m:oMath>
      <w:r>
        <w:t>is the Heaviside fun</w:t>
      </w:r>
      <w:proofErr w:type="spellStart"/>
      <w:r>
        <w:t>ction</w:t>
      </w:r>
      <w:proofErr w:type="spellEnd"/>
      <w:r>
        <w:t xml:space="preserve"> and the </w:t>
      </w:r>
      <w:proofErr w:type="spellStart"/>
      <w:r>
        <w:t>boolean</w:t>
      </w:r>
      <w:proofErr w:type="spellEnd"/>
      <w:r>
        <w:t xml:space="preserve"> units 0 and 1 thus denote negative and positive forced model responses, respectively. To determine areas where the majority of models agree on the sign of heavy precipitation change, we resample the binary arrays onto a common grid us</w:t>
      </w:r>
      <w:r>
        <w:t xml:space="preserve">ing a nearest-neighbor approach, then sum them such that </w:t>
      </w:r>
      <m:oMath>
        <m:r>
          <w:rPr>
            <w:rFonts w:ascii="Cambria Math" w:hAnsi="Cambria Math"/>
          </w:rPr>
          <m:t>C</m:t>
        </m:r>
        <m:r>
          <w:rPr>
            <w:rFonts w:ascii="Cambria Math" w:hAnsi="Cambria Math"/>
          </w:rPr>
          <m:t xml:space="preserve">= </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N</m:t>
            </m:r>
          </m:sup>
          <m:e/>
        </m:nary>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Agreement in the sign of normalised </w:t>
      </w:r>
      <w:proofErr w:type="spellStart"/>
      <w:r>
        <w:rPr>
          <w:i/>
        </w:rPr>
        <w:t>RXm</w:t>
      </w:r>
      <w:proofErr w:type="spellEnd"/>
      <w:r>
        <w:t xml:space="preserve"> across at least seven of nine models is represented by </w:t>
      </w:r>
      <m:oMath>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 xml:space="preserve"> - (9/2)| &gt;2</m:t>
        </m:r>
      </m:oMath>
      <w:r>
        <w:t xml:space="preserve">, where </w:t>
      </w: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∈[0,9]</m:t>
        </m:r>
      </m:oMath>
      <w:r>
        <w:t xml:space="preserve">. This criterion (7/9 </w:t>
      </w:r>
      <w:r>
        <w:lastRenderedPageBreak/>
        <w:t>models or 78 % model agr</w:t>
      </w:r>
      <w:proofErr w:type="spellStart"/>
      <w:r>
        <w:t>eement</w:t>
      </w:r>
      <w:proofErr w:type="spellEnd"/>
      <w:r>
        <w:t xml:space="preserve">) is comparable to the threshold imposed by previous studies (Fischer et al., 2014; </w:t>
      </w:r>
      <w:proofErr w:type="spellStart"/>
      <w:r>
        <w:t>Pfahl</w:t>
      </w:r>
      <w:proofErr w:type="spellEnd"/>
      <w:r>
        <w:t xml:space="preserve"> et al., 2017). </w:t>
      </w:r>
    </w:p>
    <w:p w14:paraId="4A1FF32D" w14:textId="77777777" w:rsidR="0055039A" w:rsidRDefault="0055039A">
      <w:pPr>
        <w:keepNext/>
        <w:spacing w:before="240" w:after="120"/>
        <w:ind w:firstLine="720"/>
        <w:rPr>
          <w:sz w:val="24"/>
          <w:szCs w:val="24"/>
        </w:rPr>
      </w:pPr>
    </w:p>
    <w:p w14:paraId="46C0EEB2" w14:textId="77777777" w:rsidR="0055039A" w:rsidRDefault="003A5537">
      <w:pPr>
        <w:keepNext/>
        <w:spacing w:before="240" w:after="120"/>
        <w:rPr>
          <w:rFonts w:ascii="Calibri" w:eastAsia="Calibri" w:hAnsi="Calibri" w:cs="Calibri"/>
        </w:rPr>
      </w:pPr>
      <w:r>
        <w:rPr>
          <w:rFonts w:ascii="Calibri" w:eastAsia="Calibri" w:hAnsi="Calibri" w:cs="Calibri"/>
          <w:b/>
        </w:rPr>
        <w:t>Table 1|</w:t>
      </w:r>
      <w:r>
        <w:rPr>
          <w:rFonts w:ascii="Calibri" w:eastAsia="Calibri" w:hAnsi="Calibri" w:cs="Calibri"/>
        </w:rPr>
        <w:t xml:space="preserve"> </w:t>
      </w:r>
      <w:r>
        <w:rPr>
          <w:rFonts w:ascii="Calibri" w:eastAsia="Calibri" w:hAnsi="Calibri" w:cs="Calibri"/>
          <w:b/>
        </w:rPr>
        <w:t>Nine CMIP5 models used in this study</w:t>
      </w:r>
      <w:r>
        <w:rPr>
          <w:rFonts w:ascii="Calibri" w:eastAsia="Calibri" w:hAnsi="Calibri" w:cs="Calibri"/>
        </w:rPr>
        <w:t>, including their spatial resolutions (number of mesh nodes).</w:t>
      </w:r>
    </w:p>
    <w:tbl>
      <w:tblPr>
        <w:tblStyle w:val="a"/>
        <w:tblW w:w="10320" w:type="dxa"/>
        <w:tblLayout w:type="fixed"/>
        <w:tblLook w:val="0400" w:firstRow="0" w:lastRow="0" w:firstColumn="0" w:lastColumn="0" w:noHBand="0" w:noVBand="1"/>
      </w:tblPr>
      <w:tblGrid>
        <w:gridCol w:w="1800"/>
        <w:gridCol w:w="990"/>
        <w:gridCol w:w="4950"/>
        <w:gridCol w:w="810"/>
        <w:gridCol w:w="1770"/>
      </w:tblGrid>
      <w:tr w:rsidR="0055039A" w14:paraId="57A4FA44" w14:textId="77777777">
        <w:trPr>
          <w:trHeight w:val="21"/>
        </w:trPr>
        <w:tc>
          <w:tcPr>
            <w:tcW w:w="1800" w:type="dxa"/>
            <w:tcBorders>
              <w:top w:val="single" w:sz="4" w:space="0" w:color="000000"/>
              <w:bottom w:val="single" w:sz="4" w:space="0" w:color="000000"/>
            </w:tcBorders>
            <w:shd w:val="clear" w:color="auto" w:fill="FFFFFF"/>
            <w:tcMar>
              <w:top w:w="180" w:type="dxa"/>
              <w:left w:w="180" w:type="dxa"/>
              <w:bottom w:w="0" w:type="dxa"/>
              <w:right w:w="180" w:type="dxa"/>
            </w:tcMar>
          </w:tcPr>
          <w:p w14:paraId="72920B56" w14:textId="77777777" w:rsidR="0055039A" w:rsidRDefault="003A5537">
            <w:pPr>
              <w:keepNext/>
              <w:spacing w:before="240" w:after="120"/>
              <w:jc w:val="center"/>
              <w:rPr>
                <w:sz w:val="20"/>
                <w:szCs w:val="20"/>
              </w:rPr>
            </w:pPr>
            <w:r>
              <w:rPr>
                <w:sz w:val="20"/>
                <w:szCs w:val="20"/>
              </w:rPr>
              <w:t>Model</w:t>
            </w:r>
          </w:p>
        </w:tc>
        <w:tc>
          <w:tcPr>
            <w:tcW w:w="6750" w:type="dxa"/>
            <w:gridSpan w:val="3"/>
            <w:tcBorders>
              <w:top w:val="single" w:sz="4" w:space="0" w:color="000000"/>
              <w:bottom w:val="single" w:sz="4" w:space="0" w:color="000000"/>
            </w:tcBorders>
            <w:shd w:val="clear" w:color="auto" w:fill="FFFFFF"/>
            <w:tcMar>
              <w:top w:w="180" w:type="dxa"/>
              <w:left w:w="180" w:type="dxa"/>
              <w:bottom w:w="0" w:type="dxa"/>
              <w:right w:w="180" w:type="dxa"/>
            </w:tcMar>
          </w:tcPr>
          <w:p w14:paraId="67C9D8ED" w14:textId="77777777" w:rsidR="0055039A" w:rsidRDefault="003A5537">
            <w:pPr>
              <w:keepNext/>
              <w:spacing w:before="240" w:after="120"/>
              <w:jc w:val="center"/>
              <w:rPr>
                <w:sz w:val="20"/>
                <w:szCs w:val="20"/>
              </w:rPr>
            </w:pPr>
            <w:r>
              <w:rPr>
                <w:sz w:val="20"/>
                <w:szCs w:val="20"/>
              </w:rPr>
              <w:t>Modelling center</w:t>
            </w:r>
          </w:p>
        </w:tc>
        <w:tc>
          <w:tcPr>
            <w:tcW w:w="1770" w:type="dxa"/>
            <w:tcBorders>
              <w:top w:val="single" w:sz="4" w:space="0" w:color="000000"/>
              <w:bottom w:val="single" w:sz="4" w:space="0" w:color="000000"/>
            </w:tcBorders>
            <w:shd w:val="clear" w:color="auto" w:fill="FFFFFF"/>
            <w:tcMar>
              <w:top w:w="180" w:type="dxa"/>
              <w:left w:w="180" w:type="dxa"/>
              <w:bottom w:w="0" w:type="dxa"/>
              <w:right w:w="180" w:type="dxa"/>
            </w:tcMar>
          </w:tcPr>
          <w:p w14:paraId="4593F183" w14:textId="77777777" w:rsidR="0055039A" w:rsidRDefault="003A5537">
            <w:pPr>
              <w:keepNext/>
              <w:spacing w:before="240" w:after="120"/>
              <w:jc w:val="center"/>
              <w:rPr>
                <w:sz w:val="20"/>
                <w:szCs w:val="20"/>
              </w:rPr>
            </w:pPr>
            <w:r>
              <w:rPr>
                <w:sz w:val="20"/>
                <w:szCs w:val="20"/>
              </w:rPr>
              <w:t>Spatial resol</w:t>
            </w:r>
            <w:r>
              <w:rPr>
                <w:sz w:val="20"/>
                <w:szCs w:val="20"/>
              </w:rPr>
              <w:t>ution</w:t>
            </w:r>
          </w:p>
        </w:tc>
      </w:tr>
      <w:tr w:rsidR="0055039A" w14:paraId="447571C3" w14:textId="77777777">
        <w:trPr>
          <w:trHeight w:val="647"/>
        </w:trPr>
        <w:tc>
          <w:tcPr>
            <w:tcW w:w="1800" w:type="dxa"/>
            <w:tcBorders>
              <w:top w:val="single" w:sz="4" w:space="0" w:color="000000"/>
            </w:tcBorders>
            <w:shd w:val="clear" w:color="auto" w:fill="FFFFFF"/>
            <w:tcMar>
              <w:top w:w="180" w:type="dxa"/>
              <w:left w:w="180" w:type="dxa"/>
              <w:bottom w:w="0" w:type="dxa"/>
              <w:right w:w="180" w:type="dxa"/>
            </w:tcMar>
            <w:vAlign w:val="center"/>
          </w:tcPr>
          <w:p w14:paraId="6F21EE13" w14:textId="77777777" w:rsidR="0055039A" w:rsidRDefault="003A5537">
            <w:pPr>
              <w:keepNext/>
              <w:spacing w:before="240" w:after="120"/>
              <w:jc w:val="center"/>
              <w:rPr>
                <w:sz w:val="20"/>
                <w:szCs w:val="20"/>
              </w:rPr>
            </w:pPr>
            <w:r>
              <w:rPr>
                <w:sz w:val="20"/>
                <w:szCs w:val="20"/>
              </w:rPr>
              <w:t>ACCESS1.3</w:t>
            </w:r>
          </w:p>
        </w:tc>
        <w:tc>
          <w:tcPr>
            <w:tcW w:w="6750" w:type="dxa"/>
            <w:gridSpan w:val="3"/>
            <w:tcBorders>
              <w:top w:val="single" w:sz="4" w:space="0" w:color="000000"/>
            </w:tcBorders>
            <w:shd w:val="clear" w:color="auto" w:fill="FFFFFF"/>
            <w:tcMar>
              <w:top w:w="180" w:type="dxa"/>
              <w:left w:w="180" w:type="dxa"/>
              <w:bottom w:w="0" w:type="dxa"/>
              <w:right w:w="180" w:type="dxa"/>
            </w:tcMar>
            <w:vAlign w:val="center"/>
          </w:tcPr>
          <w:p w14:paraId="03B733E9" w14:textId="77777777" w:rsidR="0055039A" w:rsidRDefault="003A5537">
            <w:pPr>
              <w:keepNext/>
              <w:spacing w:before="240" w:after="120"/>
              <w:rPr>
                <w:sz w:val="20"/>
                <w:szCs w:val="20"/>
              </w:rPr>
            </w:pPr>
            <w:r>
              <w:rPr>
                <w:sz w:val="20"/>
                <w:szCs w:val="20"/>
              </w:rPr>
              <w:t xml:space="preserve">CSIRO (Commonwealth Scientific and Industrial Research </w:t>
            </w:r>
            <w:proofErr w:type="spellStart"/>
            <w:r>
              <w:rPr>
                <w:sz w:val="20"/>
                <w:szCs w:val="20"/>
              </w:rPr>
              <w:t>Organisation</w:t>
            </w:r>
            <w:proofErr w:type="spellEnd"/>
            <w:r>
              <w:rPr>
                <w:sz w:val="20"/>
                <w:szCs w:val="20"/>
              </w:rPr>
              <w:t>, Australia), and BOM (Bureau of Meteorology, Australia)</w:t>
            </w:r>
          </w:p>
        </w:tc>
        <w:tc>
          <w:tcPr>
            <w:tcW w:w="1770" w:type="dxa"/>
            <w:tcBorders>
              <w:top w:val="single" w:sz="4" w:space="0" w:color="000000"/>
            </w:tcBorders>
            <w:shd w:val="clear" w:color="auto" w:fill="FFFFFF"/>
            <w:tcMar>
              <w:top w:w="180" w:type="dxa"/>
              <w:left w:w="180" w:type="dxa"/>
              <w:bottom w:w="0" w:type="dxa"/>
              <w:right w:w="180" w:type="dxa"/>
            </w:tcMar>
            <w:vAlign w:val="center"/>
          </w:tcPr>
          <w:p w14:paraId="264F1F6D" w14:textId="77777777" w:rsidR="0055039A" w:rsidRDefault="003A5537">
            <w:pPr>
              <w:keepNext/>
              <w:spacing w:before="240" w:after="120"/>
              <w:jc w:val="center"/>
              <w:rPr>
                <w:sz w:val="20"/>
                <w:szCs w:val="20"/>
              </w:rPr>
            </w:pPr>
            <w:r>
              <w:rPr>
                <w:sz w:val="20"/>
                <w:szCs w:val="20"/>
              </w:rPr>
              <w:t>145 × 192</w:t>
            </w:r>
          </w:p>
        </w:tc>
      </w:tr>
      <w:tr w:rsidR="0055039A" w14:paraId="0F9A39E4" w14:textId="77777777">
        <w:trPr>
          <w:trHeight w:val="621"/>
        </w:trPr>
        <w:tc>
          <w:tcPr>
            <w:tcW w:w="1800" w:type="dxa"/>
            <w:shd w:val="clear" w:color="auto" w:fill="FFFFFF"/>
            <w:tcMar>
              <w:top w:w="180" w:type="dxa"/>
              <w:left w:w="180" w:type="dxa"/>
              <w:bottom w:w="0" w:type="dxa"/>
              <w:right w:w="180" w:type="dxa"/>
            </w:tcMar>
            <w:vAlign w:val="center"/>
          </w:tcPr>
          <w:p w14:paraId="689A2585" w14:textId="77777777" w:rsidR="0055039A" w:rsidRDefault="003A5537">
            <w:pPr>
              <w:keepNext/>
              <w:spacing w:before="240" w:after="120"/>
              <w:jc w:val="center"/>
              <w:rPr>
                <w:sz w:val="20"/>
                <w:szCs w:val="20"/>
              </w:rPr>
            </w:pPr>
            <w:r>
              <w:rPr>
                <w:sz w:val="20"/>
                <w:szCs w:val="20"/>
              </w:rPr>
              <w:t>CNRM‐CM5</w:t>
            </w:r>
          </w:p>
        </w:tc>
        <w:tc>
          <w:tcPr>
            <w:tcW w:w="6750" w:type="dxa"/>
            <w:gridSpan w:val="3"/>
            <w:shd w:val="clear" w:color="auto" w:fill="FFFFFF"/>
            <w:tcMar>
              <w:top w:w="180" w:type="dxa"/>
              <w:left w:w="180" w:type="dxa"/>
              <w:bottom w:w="0" w:type="dxa"/>
              <w:right w:w="180" w:type="dxa"/>
            </w:tcMar>
            <w:vAlign w:val="center"/>
          </w:tcPr>
          <w:p w14:paraId="7C9E5DCB" w14:textId="77777777" w:rsidR="0055039A" w:rsidRDefault="003A5537">
            <w:pPr>
              <w:keepNext/>
              <w:spacing w:before="240" w:after="120"/>
              <w:rPr>
                <w:sz w:val="20"/>
                <w:szCs w:val="20"/>
              </w:rPr>
            </w:pPr>
            <w:r>
              <w:rPr>
                <w:sz w:val="20"/>
                <w:szCs w:val="20"/>
              </w:rPr>
              <w:t xml:space="preserve">Centre National de </w:t>
            </w:r>
            <w:proofErr w:type="spellStart"/>
            <w:r>
              <w:rPr>
                <w:sz w:val="20"/>
                <w:szCs w:val="20"/>
              </w:rPr>
              <w:t>Recherches</w:t>
            </w:r>
            <w:proofErr w:type="spellEnd"/>
            <w:r>
              <w:rPr>
                <w:sz w:val="20"/>
                <w:szCs w:val="20"/>
              </w:rPr>
              <w:t xml:space="preserve"> </w:t>
            </w:r>
            <w:proofErr w:type="spellStart"/>
            <w:r>
              <w:t>Météorologiques</w:t>
            </w:r>
            <w:proofErr w:type="spellEnd"/>
            <w:r>
              <w:rPr>
                <w:sz w:val="20"/>
                <w:szCs w:val="20"/>
              </w:rPr>
              <w:t xml:space="preserve">/Centre </w:t>
            </w:r>
            <w:proofErr w:type="spellStart"/>
            <w:r>
              <w:rPr>
                <w:sz w:val="20"/>
                <w:szCs w:val="20"/>
              </w:rPr>
              <w:t>Europ</w:t>
            </w:r>
            <w:r>
              <w:t>é</w:t>
            </w:r>
            <w:r>
              <w:rPr>
                <w:sz w:val="20"/>
                <w:szCs w:val="20"/>
              </w:rPr>
              <w:t>en</w:t>
            </w:r>
            <w:proofErr w:type="spellEnd"/>
            <w:r>
              <w:rPr>
                <w:sz w:val="20"/>
                <w:szCs w:val="20"/>
              </w:rPr>
              <w:t xml:space="preserve"> de Recherche et Formation </w:t>
            </w:r>
            <w:proofErr w:type="spellStart"/>
            <w:r>
              <w:rPr>
                <w:sz w:val="20"/>
                <w:szCs w:val="20"/>
              </w:rPr>
              <w:t>Avanc</w:t>
            </w:r>
            <w:r>
              <w:t>é</w:t>
            </w:r>
            <w:r>
              <w:rPr>
                <w:sz w:val="20"/>
                <w:szCs w:val="20"/>
              </w:rPr>
              <w:t>es</w:t>
            </w:r>
            <w:proofErr w:type="spellEnd"/>
            <w:r>
              <w:rPr>
                <w:sz w:val="20"/>
                <w:szCs w:val="20"/>
              </w:rPr>
              <w:t xml:space="preserve"> </w:t>
            </w:r>
            <w:proofErr w:type="spellStart"/>
            <w:r>
              <w:rPr>
                <w:sz w:val="20"/>
                <w:szCs w:val="20"/>
              </w:rPr>
              <w:t>en</w:t>
            </w:r>
            <w:proofErr w:type="spellEnd"/>
            <w:r>
              <w:rPr>
                <w:sz w:val="20"/>
                <w:szCs w:val="20"/>
              </w:rPr>
              <w:t xml:space="preserve"> </w:t>
            </w:r>
            <w:proofErr w:type="spellStart"/>
            <w:r>
              <w:rPr>
                <w:sz w:val="20"/>
                <w:szCs w:val="20"/>
              </w:rPr>
              <w:t>Calcul</w:t>
            </w:r>
            <w:proofErr w:type="spellEnd"/>
            <w:r>
              <w:rPr>
                <w:sz w:val="20"/>
                <w:szCs w:val="20"/>
              </w:rPr>
              <w:t xml:space="preserve"> </w:t>
            </w:r>
            <w:proofErr w:type="spellStart"/>
            <w:r>
              <w:rPr>
                <w:sz w:val="20"/>
                <w:szCs w:val="20"/>
              </w:rPr>
              <w:t>Scientifique</w:t>
            </w:r>
            <w:proofErr w:type="spellEnd"/>
          </w:p>
        </w:tc>
        <w:tc>
          <w:tcPr>
            <w:tcW w:w="1770" w:type="dxa"/>
            <w:shd w:val="clear" w:color="auto" w:fill="FFFFFF"/>
            <w:tcMar>
              <w:top w:w="180" w:type="dxa"/>
              <w:left w:w="180" w:type="dxa"/>
              <w:bottom w:w="0" w:type="dxa"/>
              <w:right w:w="180" w:type="dxa"/>
            </w:tcMar>
            <w:vAlign w:val="center"/>
          </w:tcPr>
          <w:p w14:paraId="628125F6" w14:textId="77777777" w:rsidR="0055039A" w:rsidRDefault="003A5537">
            <w:pPr>
              <w:keepNext/>
              <w:spacing w:before="240" w:after="120"/>
              <w:jc w:val="center"/>
              <w:rPr>
                <w:sz w:val="20"/>
                <w:szCs w:val="20"/>
              </w:rPr>
            </w:pPr>
            <w:r>
              <w:rPr>
                <w:sz w:val="20"/>
                <w:szCs w:val="20"/>
              </w:rPr>
              <w:t>128 × 256</w:t>
            </w:r>
          </w:p>
        </w:tc>
      </w:tr>
      <w:tr w:rsidR="0055039A" w14:paraId="18C3000E" w14:textId="77777777">
        <w:tc>
          <w:tcPr>
            <w:tcW w:w="1800" w:type="dxa"/>
            <w:shd w:val="clear" w:color="auto" w:fill="FFFFFF"/>
            <w:tcMar>
              <w:top w:w="180" w:type="dxa"/>
              <w:left w:w="180" w:type="dxa"/>
              <w:bottom w:w="0" w:type="dxa"/>
              <w:right w:w="180" w:type="dxa"/>
            </w:tcMar>
            <w:vAlign w:val="center"/>
          </w:tcPr>
          <w:p w14:paraId="2AABAC68" w14:textId="77777777" w:rsidR="0055039A" w:rsidRDefault="003A5537">
            <w:pPr>
              <w:keepNext/>
              <w:spacing w:before="240" w:after="120"/>
              <w:jc w:val="center"/>
              <w:rPr>
                <w:sz w:val="20"/>
                <w:szCs w:val="20"/>
              </w:rPr>
            </w:pPr>
            <w:r>
              <w:rPr>
                <w:sz w:val="20"/>
                <w:szCs w:val="20"/>
              </w:rPr>
              <w:t>CSIRO‐Mk3.6.0</w:t>
            </w:r>
          </w:p>
        </w:tc>
        <w:tc>
          <w:tcPr>
            <w:tcW w:w="6750" w:type="dxa"/>
            <w:gridSpan w:val="3"/>
            <w:shd w:val="clear" w:color="auto" w:fill="FFFFFF"/>
            <w:tcMar>
              <w:top w:w="180" w:type="dxa"/>
              <w:left w:w="180" w:type="dxa"/>
              <w:bottom w:w="0" w:type="dxa"/>
              <w:right w:w="180" w:type="dxa"/>
            </w:tcMar>
            <w:vAlign w:val="center"/>
          </w:tcPr>
          <w:p w14:paraId="1701DDB0" w14:textId="77777777" w:rsidR="0055039A" w:rsidRDefault="003A5537">
            <w:pPr>
              <w:keepNext/>
              <w:spacing w:before="240" w:after="120"/>
              <w:rPr>
                <w:sz w:val="20"/>
                <w:szCs w:val="20"/>
              </w:rPr>
            </w:pPr>
            <w:r>
              <w:rPr>
                <w:sz w:val="20"/>
                <w:szCs w:val="20"/>
              </w:rPr>
              <w:t xml:space="preserve">CSIRO (Commonwealth Scientific and Industrial Research </w:t>
            </w:r>
            <w:proofErr w:type="spellStart"/>
            <w:r>
              <w:rPr>
                <w:sz w:val="20"/>
                <w:szCs w:val="20"/>
              </w:rPr>
              <w:t>Organisation</w:t>
            </w:r>
            <w:proofErr w:type="spellEnd"/>
            <w:r>
              <w:rPr>
                <w:sz w:val="20"/>
                <w:szCs w:val="20"/>
              </w:rPr>
              <w:t>, Australia), and BOM (Bureau of Meteorology, Australia)</w:t>
            </w:r>
          </w:p>
        </w:tc>
        <w:tc>
          <w:tcPr>
            <w:tcW w:w="1770" w:type="dxa"/>
            <w:shd w:val="clear" w:color="auto" w:fill="FFFFFF"/>
            <w:tcMar>
              <w:top w:w="180" w:type="dxa"/>
              <w:left w:w="180" w:type="dxa"/>
              <w:bottom w:w="0" w:type="dxa"/>
              <w:right w:w="180" w:type="dxa"/>
            </w:tcMar>
            <w:vAlign w:val="center"/>
          </w:tcPr>
          <w:p w14:paraId="3DA25C7D" w14:textId="77777777" w:rsidR="0055039A" w:rsidRDefault="003A5537">
            <w:pPr>
              <w:keepNext/>
              <w:spacing w:before="240" w:after="120"/>
              <w:jc w:val="center"/>
              <w:rPr>
                <w:sz w:val="20"/>
                <w:szCs w:val="20"/>
              </w:rPr>
            </w:pPr>
            <w:r>
              <w:rPr>
                <w:sz w:val="20"/>
                <w:szCs w:val="20"/>
              </w:rPr>
              <w:t>96 × 192</w:t>
            </w:r>
          </w:p>
        </w:tc>
      </w:tr>
      <w:tr w:rsidR="0055039A" w14:paraId="2AFB9E0C" w14:textId="77777777">
        <w:tc>
          <w:tcPr>
            <w:tcW w:w="1800" w:type="dxa"/>
            <w:shd w:val="clear" w:color="auto" w:fill="FFFFFF"/>
            <w:tcMar>
              <w:top w:w="180" w:type="dxa"/>
              <w:left w:w="180" w:type="dxa"/>
              <w:bottom w:w="0" w:type="dxa"/>
              <w:right w:w="180" w:type="dxa"/>
            </w:tcMar>
            <w:vAlign w:val="center"/>
          </w:tcPr>
          <w:p w14:paraId="0BE5C7FF" w14:textId="77777777" w:rsidR="0055039A" w:rsidRDefault="003A5537">
            <w:pPr>
              <w:keepNext/>
              <w:spacing w:before="240" w:after="120"/>
              <w:jc w:val="center"/>
              <w:rPr>
                <w:sz w:val="20"/>
                <w:szCs w:val="20"/>
              </w:rPr>
            </w:pPr>
            <w:r>
              <w:rPr>
                <w:sz w:val="20"/>
                <w:szCs w:val="20"/>
              </w:rPr>
              <w:t>CanESM2</w:t>
            </w:r>
          </w:p>
        </w:tc>
        <w:tc>
          <w:tcPr>
            <w:tcW w:w="6750" w:type="dxa"/>
            <w:gridSpan w:val="3"/>
            <w:shd w:val="clear" w:color="auto" w:fill="FFFFFF"/>
            <w:tcMar>
              <w:top w:w="180" w:type="dxa"/>
              <w:left w:w="180" w:type="dxa"/>
              <w:bottom w:w="0" w:type="dxa"/>
              <w:right w:w="180" w:type="dxa"/>
            </w:tcMar>
            <w:vAlign w:val="center"/>
          </w:tcPr>
          <w:p w14:paraId="093629E0" w14:textId="77777777" w:rsidR="0055039A" w:rsidRDefault="003A5537">
            <w:pPr>
              <w:keepNext/>
              <w:spacing w:before="240" w:after="120"/>
              <w:rPr>
                <w:sz w:val="20"/>
                <w:szCs w:val="20"/>
              </w:rPr>
            </w:pPr>
            <w:r>
              <w:rPr>
                <w:sz w:val="20"/>
                <w:szCs w:val="20"/>
              </w:rPr>
              <w:t>Canadian Centre for Climate Modelling and Analysis</w:t>
            </w:r>
          </w:p>
        </w:tc>
        <w:tc>
          <w:tcPr>
            <w:tcW w:w="1770" w:type="dxa"/>
            <w:shd w:val="clear" w:color="auto" w:fill="FFFFFF"/>
            <w:tcMar>
              <w:top w:w="180" w:type="dxa"/>
              <w:left w:w="180" w:type="dxa"/>
              <w:bottom w:w="0" w:type="dxa"/>
              <w:right w:w="180" w:type="dxa"/>
            </w:tcMar>
            <w:vAlign w:val="center"/>
          </w:tcPr>
          <w:p w14:paraId="7DF13E9A" w14:textId="77777777" w:rsidR="0055039A" w:rsidRDefault="003A5537">
            <w:pPr>
              <w:keepNext/>
              <w:spacing w:before="240" w:after="120"/>
              <w:jc w:val="center"/>
              <w:rPr>
                <w:sz w:val="20"/>
                <w:szCs w:val="20"/>
              </w:rPr>
            </w:pPr>
            <w:r>
              <w:rPr>
                <w:sz w:val="20"/>
                <w:szCs w:val="20"/>
              </w:rPr>
              <w:t>64 × 128</w:t>
            </w:r>
          </w:p>
        </w:tc>
      </w:tr>
      <w:tr w:rsidR="0055039A" w14:paraId="367A8130" w14:textId="77777777">
        <w:tc>
          <w:tcPr>
            <w:tcW w:w="1800" w:type="dxa"/>
            <w:shd w:val="clear" w:color="auto" w:fill="FFFFFF"/>
            <w:tcMar>
              <w:top w:w="180" w:type="dxa"/>
              <w:left w:w="180" w:type="dxa"/>
              <w:bottom w:w="0" w:type="dxa"/>
              <w:right w:w="180" w:type="dxa"/>
            </w:tcMar>
            <w:vAlign w:val="center"/>
          </w:tcPr>
          <w:p w14:paraId="11EAEED4" w14:textId="77777777" w:rsidR="0055039A" w:rsidRDefault="003A5537">
            <w:pPr>
              <w:keepNext/>
              <w:spacing w:before="240" w:after="120"/>
              <w:jc w:val="center"/>
              <w:rPr>
                <w:sz w:val="20"/>
                <w:szCs w:val="20"/>
              </w:rPr>
            </w:pPr>
            <w:r>
              <w:rPr>
                <w:sz w:val="20"/>
                <w:szCs w:val="20"/>
              </w:rPr>
              <w:t>INM‐CM4</w:t>
            </w:r>
          </w:p>
        </w:tc>
        <w:tc>
          <w:tcPr>
            <w:tcW w:w="6750" w:type="dxa"/>
            <w:gridSpan w:val="3"/>
            <w:shd w:val="clear" w:color="auto" w:fill="FFFFFF"/>
            <w:tcMar>
              <w:top w:w="180" w:type="dxa"/>
              <w:left w:w="180" w:type="dxa"/>
              <w:bottom w:w="0" w:type="dxa"/>
              <w:right w:w="180" w:type="dxa"/>
            </w:tcMar>
            <w:vAlign w:val="center"/>
          </w:tcPr>
          <w:p w14:paraId="7CD904E4" w14:textId="77777777" w:rsidR="0055039A" w:rsidRDefault="003A5537">
            <w:pPr>
              <w:keepNext/>
              <w:spacing w:before="240" w:after="120"/>
              <w:rPr>
                <w:sz w:val="20"/>
                <w:szCs w:val="20"/>
              </w:rPr>
            </w:pPr>
            <w:r>
              <w:rPr>
                <w:sz w:val="20"/>
                <w:szCs w:val="20"/>
              </w:rPr>
              <w:t>Institute for Numerical Mathematics, Russia</w:t>
            </w:r>
          </w:p>
        </w:tc>
        <w:tc>
          <w:tcPr>
            <w:tcW w:w="1770" w:type="dxa"/>
            <w:shd w:val="clear" w:color="auto" w:fill="FFFFFF"/>
            <w:tcMar>
              <w:top w:w="180" w:type="dxa"/>
              <w:left w:w="180" w:type="dxa"/>
              <w:bottom w:w="0" w:type="dxa"/>
              <w:right w:w="180" w:type="dxa"/>
            </w:tcMar>
            <w:vAlign w:val="center"/>
          </w:tcPr>
          <w:p w14:paraId="2C9DA2C7" w14:textId="77777777" w:rsidR="0055039A" w:rsidRDefault="003A5537">
            <w:pPr>
              <w:keepNext/>
              <w:spacing w:before="240" w:after="120"/>
              <w:jc w:val="center"/>
              <w:rPr>
                <w:sz w:val="20"/>
                <w:szCs w:val="20"/>
              </w:rPr>
            </w:pPr>
            <w:r>
              <w:rPr>
                <w:sz w:val="20"/>
                <w:szCs w:val="20"/>
              </w:rPr>
              <w:t>120 × 180</w:t>
            </w:r>
          </w:p>
        </w:tc>
      </w:tr>
      <w:tr w:rsidR="0055039A" w14:paraId="361BF81A" w14:textId="77777777">
        <w:tc>
          <w:tcPr>
            <w:tcW w:w="1800" w:type="dxa"/>
            <w:shd w:val="clear" w:color="auto" w:fill="FFFFFF"/>
            <w:tcMar>
              <w:top w:w="180" w:type="dxa"/>
              <w:left w:w="180" w:type="dxa"/>
              <w:bottom w:w="0" w:type="dxa"/>
              <w:right w:w="180" w:type="dxa"/>
            </w:tcMar>
            <w:vAlign w:val="center"/>
          </w:tcPr>
          <w:p w14:paraId="14BAE090" w14:textId="77777777" w:rsidR="0055039A" w:rsidRDefault="003A5537">
            <w:pPr>
              <w:keepNext/>
              <w:spacing w:before="240" w:after="120"/>
              <w:jc w:val="center"/>
              <w:rPr>
                <w:sz w:val="20"/>
                <w:szCs w:val="20"/>
              </w:rPr>
            </w:pPr>
            <w:r>
              <w:rPr>
                <w:sz w:val="20"/>
                <w:szCs w:val="20"/>
              </w:rPr>
              <w:t>IPSL‐CM5A‐MR</w:t>
            </w:r>
          </w:p>
        </w:tc>
        <w:tc>
          <w:tcPr>
            <w:tcW w:w="6750" w:type="dxa"/>
            <w:gridSpan w:val="3"/>
            <w:shd w:val="clear" w:color="auto" w:fill="FFFFFF"/>
            <w:tcMar>
              <w:top w:w="180" w:type="dxa"/>
              <w:left w:w="180" w:type="dxa"/>
              <w:bottom w:w="0" w:type="dxa"/>
              <w:right w:w="180" w:type="dxa"/>
            </w:tcMar>
            <w:vAlign w:val="center"/>
          </w:tcPr>
          <w:p w14:paraId="6045AAC9" w14:textId="77777777" w:rsidR="0055039A" w:rsidRDefault="003A5537">
            <w:pPr>
              <w:keepNext/>
              <w:spacing w:before="240" w:after="120"/>
              <w:rPr>
                <w:sz w:val="20"/>
                <w:szCs w:val="20"/>
              </w:rPr>
            </w:pPr>
            <w:proofErr w:type="spellStart"/>
            <w:r>
              <w:rPr>
                <w:sz w:val="20"/>
                <w:szCs w:val="20"/>
              </w:rPr>
              <w:t>Institut</w:t>
            </w:r>
            <w:proofErr w:type="spellEnd"/>
            <w:r>
              <w:rPr>
                <w:sz w:val="20"/>
                <w:szCs w:val="20"/>
              </w:rPr>
              <w:t xml:space="preserve"> Pierre‐Simon Laplace, France</w:t>
            </w:r>
          </w:p>
        </w:tc>
        <w:tc>
          <w:tcPr>
            <w:tcW w:w="1770" w:type="dxa"/>
            <w:shd w:val="clear" w:color="auto" w:fill="FFFFFF"/>
            <w:tcMar>
              <w:top w:w="180" w:type="dxa"/>
              <w:left w:w="180" w:type="dxa"/>
              <w:bottom w:w="0" w:type="dxa"/>
              <w:right w:w="180" w:type="dxa"/>
            </w:tcMar>
            <w:vAlign w:val="center"/>
          </w:tcPr>
          <w:p w14:paraId="6BB5BCE1" w14:textId="77777777" w:rsidR="0055039A" w:rsidRDefault="003A5537">
            <w:pPr>
              <w:keepNext/>
              <w:spacing w:before="240" w:after="120"/>
              <w:jc w:val="center"/>
              <w:rPr>
                <w:sz w:val="20"/>
                <w:szCs w:val="20"/>
              </w:rPr>
            </w:pPr>
            <w:r>
              <w:rPr>
                <w:sz w:val="20"/>
                <w:szCs w:val="20"/>
              </w:rPr>
              <w:t>96 × 96</w:t>
            </w:r>
          </w:p>
        </w:tc>
      </w:tr>
      <w:tr w:rsidR="0055039A" w14:paraId="0D70E15B" w14:textId="77777777">
        <w:trPr>
          <w:trHeight w:val="837"/>
        </w:trPr>
        <w:tc>
          <w:tcPr>
            <w:tcW w:w="1800" w:type="dxa"/>
            <w:shd w:val="clear" w:color="auto" w:fill="FFFFFF"/>
            <w:tcMar>
              <w:top w:w="180" w:type="dxa"/>
              <w:left w:w="180" w:type="dxa"/>
              <w:bottom w:w="0" w:type="dxa"/>
              <w:right w:w="180" w:type="dxa"/>
            </w:tcMar>
            <w:vAlign w:val="center"/>
          </w:tcPr>
          <w:p w14:paraId="6A09DABB" w14:textId="77777777" w:rsidR="0055039A" w:rsidRDefault="003A5537">
            <w:pPr>
              <w:keepNext/>
              <w:spacing w:before="240" w:after="120"/>
              <w:jc w:val="center"/>
              <w:rPr>
                <w:sz w:val="20"/>
                <w:szCs w:val="20"/>
              </w:rPr>
            </w:pPr>
            <w:r>
              <w:rPr>
                <w:sz w:val="20"/>
                <w:szCs w:val="20"/>
              </w:rPr>
              <w:t>MIROC5</w:t>
            </w:r>
          </w:p>
        </w:tc>
        <w:tc>
          <w:tcPr>
            <w:tcW w:w="6750" w:type="dxa"/>
            <w:gridSpan w:val="3"/>
            <w:shd w:val="clear" w:color="auto" w:fill="FFFFFF"/>
            <w:tcMar>
              <w:top w:w="180" w:type="dxa"/>
              <w:left w:w="180" w:type="dxa"/>
              <w:bottom w:w="0" w:type="dxa"/>
              <w:right w:w="180" w:type="dxa"/>
            </w:tcMar>
            <w:vAlign w:val="center"/>
          </w:tcPr>
          <w:p w14:paraId="1719173F" w14:textId="77777777" w:rsidR="0055039A" w:rsidRDefault="003A5537">
            <w:pPr>
              <w:keepNext/>
              <w:spacing w:before="240" w:after="120"/>
              <w:rPr>
                <w:sz w:val="20"/>
                <w:szCs w:val="20"/>
              </w:rPr>
            </w:pPr>
            <w:r>
              <w:rPr>
                <w:sz w:val="20"/>
                <w:szCs w:val="20"/>
              </w:rPr>
              <w:t>Atmosphere and Ocean Research Institute (The University of Tokyo), National Institute for Environmental Studies, and Japan Age</w:t>
            </w:r>
            <w:r>
              <w:rPr>
                <w:sz w:val="20"/>
                <w:szCs w:val="20"/>
              </w:rPr>
              <w:t>ncy for Marine‐Earth Science and Technology, Japan</w:t>
            </w:r>
          </w:p>
        </w:tc>
        <w:tc>
          <w:tcPr>
            <w:tcW w:w="1770" w:type="dxa"/>
            <w:shd w:val="clear" w:color="auto" w:fill="FFFFFF"/>
            <w:tcMar>
              <w:top w:w="180" w:type="dxa"/>
              <w:left w:w="180" w:type="dxa"/>
              <w:bottom w:w="0" w:type="dxa"/>
              <w:right w:w="180" w:type="dxa"/>
            </w:tcMar>
            <w:vAlign w:val="center"/>
          </w:tcPr>
          <w:p w14:paraId="389D8129" w14:textId="77777777" w:rsidR="0055039A" w:rsidRDefault="003A5537">
            <w:pPr>
              <w:keepNext/>
              <w:spacing w:before="240" w:after="120"/>
              <w:jc w:val="center"/>
              <w:rPr>
                <w:sz w:val="20"/>
                <w:szCs w:val="20"/>
              </w:rPr>
            </w:pPr>
            <w:r>
              <w:rPr>
                <w:sz w:val="20"/>
                <w:szCs w:val="20"/>
              </w:rPr>
              <w:t>128 × 256</w:t>
            </w:r>
          </w:p>
        </w:tc>
      </w:tr>
      <w:tr w:rsidR="0055039A" w14:paraId="687F6FDB" w14:textId="77777777">
        <w:tc>
          <w:tcPr>
            <w:tcW w:w="1800" w:type="dxa"/>
            <w:shd w:val="clear" w:color="auto" w:fill="FFFFFF"/>
            <w:tcMar>
              <w:top w:w="180" w:type="dxa"/>
              <w:left w:w="180" w:type="dxa"/>
              <w:bottom w:w="0" w:type="dxa"/>
              <w:right w:w="180" w:type="dxa"/>
            </w:tcMar>
            <w:vAlign w:val="center"/>
          </w:tcPr>
          <w:p w14:paraId="3E822345" w14:textId="77777777" w:rsidR="0055039A" w:rsidRDefault="003A5537">
            <w:pPr>
              <w:keepNext/>
              <w:spacing w:before="240" w:after="120"/>
              <w:jc w:val="center"/>
              <w:rPr>
                <w:sz w:val="20"/>
                <w:szCs w:val="20"/>
              </w:rPr>
            </w:pPr>
            <w:r>
              <w:rPr>
                <w:sz w:val="20"/>
                <w:szCs w:val="20"/>
              </w:rPr>
              <w:t>MRI‐CGCM3</w:t>
            </w:r>
          </w:p>
        </w:tc>
        <w:tc>
          <w:tcPr>
            <w:tcW w:w="6750" w:type="dxa"/>
            <w:gridSpan w:val="3"/>
            <w:shd w:val="clear" w:color="auto" w:fill="FFFFFF"/>
            <w:tcMar>
              <w:top w:w="180" w:type="dxa"/>
              <w:left w:w="180" w:type="dxa"/>
              <w:bottom w:w="0" w:type="dxa"/>
              <w:right w:w="180" w:type="dxa"/>
            </w:tcMar>
            <w:vAlign w:val="center"/>
          </w:tcPr>
          <w:p w14:paraId="218FE549" w14:textId="77777777" w:rsidR="0055039A" w:rsidRDefault="003A5537">
            <w:pPr>
              <w:keepNext/>
              <w:spacing w:before="240" w:after="120"/>
              <w:rPr>
                <w:sz w:val="20"/>
                <w:szCs w:val="20"/>
              </w:rPr>
            </w:pPr>
            <w:r>
              <w:rPr>
                <w:sz w:val="20"/>
                <w:szCs w:val="20"/>
              </w:rPr>
              <w:t>Meteorological Research Institute, Japan</w:t>
            </w:r>
          </w:p>
        </w:tc>
        <w:tc>
          <w:tcPr>
            <w:tcW w:w="1770" w:type="dxa"/>
            <w:shd w:val="clear" w:color="auto" w:fill="FFFFFF"/>
            <w:tcMar>
              <w:top w:w="180" w:type="dxa"/>
              <w:left w:w="180" w:type="dxa"/>
              <w:bottom w:w="0" w:type="dxa"/>
              <w:right w:w="180" w:type="dxa"/>
            </w:tcMar>
            <w:vAlign w:val="center"/>
          </w:tcPr>
          <w:p w14:paraId="285BE57B" w14:textId="77777777" w:rsidR="0055039A" w:rsidRDefault="003A5537">
            <w:pPr>
              <w:keepNext/>
              <w:spacing w:before="240" w:after="120"/>
              <w:jc w:val="center"/>
              <w:rPr>
                <w:sz w:val="20"/>
                <w:szCs w:val="20"/>
              </w:rPr>
            </w:pPr>
            <w:r>
              <w:rPr>
                <w:sz w:val="20"/>
                <w:szCs w:val="20"/>
              </w:rPr>
              <w:t>160 × 320</w:t>
            </w:r>
          </w:p>
        </w:tc>
      </w:tr>
      <w:tr w:rsidR="0055039A" w14:paraId="66FEE87E" w14:textId="77777777">
        <w:tc>
          <w:tcPr>
            <w:tcW w:w="1800" w:type="dxa"/>
            <w:tcBorders>
              <w:bottom w:val="single" w:sz="4" w:space="0" w:color="000000"/>
            </w:tcBorders>
            <w:shd w:val="clear" w:color="auto" w:fill="FFFFFF"/>
            <w:tcMar>
              <w:top w:w="180" w:type="dxa"/>
              <w:left w:w="180" w:type="dxa"/>
              <w:bottom w:w="0" w:type="dxa"/>
              <w:right w:w="180" w:type="dxa"/>
            </w:tcMar>
            <w:vAlign w:val="center"/>
          </w:tcPr>
          <w:p w14:paraId="7BF30C08" w14:textId="77777777" w:rsidR="0055039A" w:rsidRDefault="003A5537">
            <w:pPr>
              <w:keepNext/>
              <w:spacing w:before="240" w:after="120"/>
              <w:jc w:val="center"/>
              <w:rPr>
                <w:sz w:val="20"/>
                <w:szCs w:val="20"/>
              </w:rPr>
            </w:pPr>
            <w:r>
              <w:rPr>
                <w:sz w:val="20"/>
                <w:szCs w:val="20"/>
              </w:rPr>
              <w:t>NorESM1‐M</w:t>
            </w:r>
          </w:p>
        </w:tc>
        <w:tc>
          <w:tcPr>
            <w:tcW w:w="6750" w:type="dxa"/>
            <w:gridSpan w:val="3"/>
            <w:tcBorders>
              <w:bottom w:val="single" w:sz="4" w:space="0" w:color="000000"/>
            </w:tcBorders>
            <w:shd w:val="clear" w:color="auto" w:fill="FFFFFF"/>
            <w:tcMar>
              <w:top w:w="180" w:type="dxa"/>
              <w:left w:w="180" w:type="dxa"/>
              <w:bottom w:w="0" w:type="dxa"/>
              <w:right w:w="180" w:type="dxa"/>
            </w:tcMar>
            <w:vAlign w:val="center"/>
          </w:tcPr>
          <w:p w14:paraId="36218931" w14:textId="77777777" w:rsidR="0055039A" w:rsidRDefault="003A5537">
            <w:pPr>
              <w:keepNext/>
              <w:spacing w:before="240" w:after="120"/>
              <w:rPr>
                <w:sz w:val="20"/>
                <w:szCs w:val="20"/>
              </w:rPr>
            </w:pPr>
            <w:r>
              <w:rPr>
                <w:sz w:val="20"/>
                <w:szCs w:val="20"/>
              </w:rPr>
              <w:t>Norwegian Climate Centre, Norway</w:t>
            </w:r>
          </w:p>
        </w:tc>
        <w:tc>
          <w:tcPr>
            <w:tcW w:w="1770" w:type="dxa"/>
            <w:tcBorders>
              <w:bottom w:val="single" w:sz="4" w:space="0" w:color="000000"/>
            </w:tcBorders>
            <w:shd w:val="clear" w:color="auto" w:fill="FFFFFF"/>
            <w:tcMar>
              <w:top w:w="180" w:type="dxa"/>
              <w:left w:w="180" w:type="dxa"/>
              <w:bottom w:w="0" w:type="dxa"/>
              <w:right w:w="180" w:type="dxa"/>
            </w:tcMar>
            <w:vAlign w:val="center"/>
          </w:tcPr>
          <w:p w14:paraId="3F98E110" w14:textId="77777777" w:rsidR="0055039A" w:rsidRDefault="003A5537">
            <w:pPr>
              <w:keepNext/>
              <w:spacing w:before="240" w:after="120"/>
              <w:jc w:val="center"/>
              <w:rPr>
                <w:sz w:val="20"/>
                <w:szCs w:val="20"/>
              </w:rPr>
            </w:pPr>
            <w:r>
              <w:rPr>
                <w:sz w:val="20"/>
                <w:szCs w:val="20"/>
              </w:rPr>
              <w:t>96 × 144</w:t>
            </w:r>
          </w:p>
        </w:tc>
      </w:tr>
      <w:tr w:rsidR="0055039A" w14:paraId="678575C7" w14:textId="77777777">
        <w:tc>
          <w:tcPr>
            <w:tcW w:w="2790" w:type="dxa"/>
            <w:gridSpan w:val="2"/>
            <w:tcBorders>
              <w:top w:val="single" w:sz="4" w:space="0" w:color="000000"/>
            </w:tcBorders>
            <w:shd w:val="clear" w:color="auto" w:fill="FFFFFF"/>
            <w:tcMar>
              <w:top w:w="180" w:type="dxa"/>
              <w:left w:w="180" w:type="dxa"/>
              <w:bottom w:w="0" w:type="dxa"/>
              <w:right w:w="180" w:type="dxa"/>
            </w:tcMar>
          </w:tcPr>
          <w:p w14:paraId="5C2A2721" w14:textId="77777777" w:rsidR="0055039A" w:rsidRDefault="0055039A">
            <w:pPr>
              <w:keepNext/>
              <w:spacing w:before="240" w:after="120"/>
              <w:ind w:left="720"/>
              <w:rPr>
                <w:sz w:val="24"/>
                <w:szCs w:val="24"/>
              </w:rPr>
            </w:pPr>
          </w:p>
        </w:tc>
        <w:tc>
          <w:tcPr>
            <w:tcW w:w="4950" w:type="dxa"/>
            <w:tcBorders>
              <w:top w:val="single" w:sz="4" w:space="0" w:color="000000"/>
            </w:tcBorders>
            <w:shd w:val="clear" w:color="auto" w:fill="FFFFFF"/>
            <w:tcMar>
              <w:top w:w="180" w:type="dxa"/>
              <w:left w:w="180" w:type="dxa"/>
              <w:bottom w:w="0" w:type="dxa"/>
              <w:right w:w="180" w:type="dxa"/>
            </w:tcMar>
          </w:tcPr>
          <w:p w14:paraId="582BF268" w14:textId="77777777" w:rsidR="0055039A" w:rsidRDefault="0055039A">
            <w:pPr>
              <w:keepNext/>
              <w:spacing w:before="240" w:after="120"/>
              <w:ind w:left="720"/>
              <w:rPr>
                <w:sz w:val="24"/>
                <w:szCs w:val="24"/>
              </w:rPr>
            </w:pPr>
          </w:p>
        </w:tc>
        <w:tc>
          <w:tcPr>
            <w:tcW w:w="2580" w:type="dxa"/>
            <w:gridSpan w:val="2"/>
            <w:tcBorders>
              <w:top w:val="single" w:sz="4" w:space="0" w:color="000000"/>
            </w:tcBorders>
            <w:shd w:val="clear" w:color="auto" w:fill="FFFFFF"/>
            <w:tcMar>
              <w:top w:w="180" w:type="dxa"/>
              <w:left w:w="180" w:type="dxa"/>
              <w:bottom w:w="0" w:type="dxa"/>
              <w:right w:w="180" w:type="dxa"/>
            </w:tcMar>
          </w:tcPr>
          <w:p w14:paraId="28FF5C52" w14:textId="77777777" w:rsidR="0055039A" w:rsidRDefault="0055039A">
            <w:pPr>
              <w:keepNext/>
              <w:spacing w:before="240" w:after="120"/>
              <w:ind w:left="720"/>
              <w:rPr>
                <w:sz w:val="24"/>
                <w:szCs w:val="24"/>
              </w:rPr>
            </w:pPr>
          </w:p>
        </w:tc>
      </w:tr>
    </w:tbl>
    <w:p w14:paraId="060431C8" w14:textId="77777777" w:rsidR="0055039A" w:rsidRDefault="003A5537">
      <w:pPr>
        <w:pStyle w:val="Heading4"/>
        <w:spacing w:after="120"/>
      </w:pPr>
      <w:bookmarkStart w:id="11" w:name="_s0vsws31ecux" w:colFirst="0" w:colLast="0"/>
      <w:bookmarkEnd w:id="11"/>
      <w:r>
        <w:t>Distribution statistics and other calculations</w:t>
      </w:r>
    </w:p>
    <w:p w14:paraId="69F67B01" w14:textId="77777777" w:rsidR="0055039A" w:rsidRDefault="003A5537">
      <w:pPr>
        <w:keepNext/>
        <w:spacing w:before="240" w:after="120"/>
      </w:pPr>
      <w:r>
        <w:lastRenderedPageBreak/>
        <w:t>Where appropriate, volcano slope steepness was calculated using the database compiled by Grosse et al., (2014). Based on Shuttle Radar Topography Mission (SRTM) digital elevation data, Grosse et al., (2014) compute flank slopes for 50 m elevation intervals</w:t>
      </w:r>
      <w:r>
        <w:t xml:space="preserve"> for 759 volcanoes. Maxima and mean slope values were calculated from this database. Uniformity was tested for using the chi-squared (χ</w:t>
      </w:r>
      <w:r>
        <w:rPr>
          <w:vertAlign w:val="superscript"/>
        </w:rPr>
        <w:t>2</w:t>
      </w:r>
      <w:r>
        <w:t xml:space="preserve">) method. Statistical significance was ascribed where the cumulative distribution function of the chi-squared statistic </w:t>
      </w:r>
      <w:r>
        <w:t>CDF(χ</w:t>
      </w:r>
      <w:r>
        <w:rPr>
          <w:vertAlign w:val="superscript"/>
        </w:rPr>
        <w:t>2</w:t>
      </w:r>
      <w:r>
        <w:t>) was less than 0.01. Descriptive statistics of volcano FMR distributions (</w:t>
      </w:r>
      <w:r>
        <w:rPr>
          <w:b/>
        </w:rPr>
        <w:t>Figure 2c</w:t>
      </w:r>
      <w:r>
        <w:t>) were calculated assuming a normal distribution (“neg” and “</w:t>
      </w:r>
      <w:proofErr w:type="spellStart"/>
      <w:r>
        <w:t>amb</w:t>
      </w:r>
      <w:proofErr w:type="spellEnd"/>
      <w:r>
        <w:t>”) and a log-normal distribution (“</w:t>
      </w:r>
      <w:proofErr w:type="spellStart"/>
      <w:r>
        <w:t>pos</w:t>
      </w:r>
      <w:proofErr w:type="spellEnd"/>
      <w:r>
        <w:t xml:space="preserve">”). All data processing and analysis was </w:t>
      </w:r>
      <w:r>
        <w:lastRenderedPageBreak/>
        <w:t xml:space="preserve">performed in Python 3. </w:t>
      </w:r>
      <w:r>
        <w:t xml:space="preserve">Links to all necessary code are provided in the Code Availability section.  </w:t>
      </w:r>
    </w:p>
    <w:p w14:paraId="2FD9BBCB" w14:textId="77777777" w:rsidR="0055039A" w:rsidRDefault="003A5537">
      <w:pPr>
        <w:pStyle w:val="Heading3"/>
        <w:spacing w:before="240" w:after="120"/>
      </w:pPr>
      <w:bookmarkStart w:id="12" w:name="_7k0mchj5y2xi" w:colFirst="0" w:colLast="0"/>
      <w:bookmarkEnd w:id="12"/>
      <w:r>
        <w:t>References</w:t>
      </w:r>
    </w:p>
    <w:p w14:paraId="4F0619D6"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Brönnimann</w:t>
      </w:r>
      <w:proofErr w:type="spellEnd"/>
      <w:r>
        <w:rPr>
          <w:rFonts w:ascii="Times New Roman" w:eastAsia="Times New Roman" w:hAnsi="Times New Roman" w:cs="Times New Roman"/>
          <w:sz w:val="24"/>
          <w:szCs w:val="24"/>
        </w:rPr>
        <w:t xml:space="preserve">, S.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Last phase of the Little Ice Age forced by volcanic eruptions. </w:t>
      </w:r>
      <w:r>
        <w:rPr>
          <w:rFonts w:ascii="Times New Roman" w:eastAsia="Times New Roman" w:hAnsi="Times New Roman" w:cs="Times New Roman"/>
          <w:i/>
          <w:sz w:val="24"/>
          <w:szCs w:val="24"/>
        </w:rPr>
        <w:t xml:space="preserve">Nat. </w:t>
      </w:r>
      <w:proofErr w:type="spellStart"/>
      <w:r>
        <w:rPr>
          <w:rFonts w:ascii="Times New Roman" w:eastAsia="Times New Roman" w:hAnsi="Times New Roman" w:cs="Times New Roman"/>
          <w:i/>
          <w:sz w:val="24"/>
          <w:szCs w:val="24"/>
        </w:rPr>
        <w:t>Geosci</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12</w:t>
      </w:r>
      <w:r>
        <w:rPr>
          <w:rFonts w:ascii="Times New Roman" w:eastAsia="Times New Roman" w:hAnsi="Times New Roman" w:cs="Times New Roman"/>
          <w:sz w:val="24"/>
          <w:szCs w:val="24"/>
        </w:rPr>
        <w:t>, 650–656 (2019).</w:t>
      </w:r>
    </w:p>
    <w:p w14:paraId="3819FE56"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Robock</w:t>
      </w:r>
      <w:proofErr w:type="spellEnd"/>
      <w:r>
        <w:rPr>
          <w:rFonts w:ascii="Times New Roman" w:eastAsia="Times New Roman" w:hAnsi="Times New Roman" w:cs="Times New Roman"/>
          <w:sz w:val="24"/>
          <w:szCs w:val="24"/>
        </w:rPr>
        <w:t xml:space="preserve">, A. Volcanic eruptions and climate. </w:t>
      </w:r>
      <w:r>
        <w:rPr>
          <w:rFonts w:ascii="Times New Roman" w:eastAsia="Times New Roman" w:hAnsi="Times New Roman" w:cs="Times New Roman"/>
          <w:i/>
          <w:sz w:val="24"/>
          <w:szCs w:val="24"/>
        </w:rPr>
        <w:t xml:space="preserve">Rev. </w:t>
      </w:r>
      <w:proofErr w:type="spellStart"/>
      <w:r>
        <w:rPr>
          <w:rFonts w:ascii="Times New Roman" w:eastAsia="Times New Roman" w:hAnsi="Times New Roman" w:cs="Times New Roman"/>
          <w:i/>
          <w:sz w:val="24"/>
          <w:szCs w:val="24"/>
        </w:rPr>
        <w:t>Geophys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38</w:t>
      </w:r>
      <w:r>
        <w:rPr>
          <w:rFonts w:ascii="Times New Roman" w:eastAsia="Times New Roman" w:hAnsi="Times New Roman" w:cs="Times New Roman"/>
          <w:sz w:val="24"/>
          <w:szCs w:val="24"/>
        </w:rPr>
        <w:t>, 191–219 (2000).</w:t>
      </w:r>
    </w:p>
    <w:p w14:paraId="583EE9AE"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ab/>
        <w:t xml:space="preserve">Hyde, W. T. &amp; Crowley, T. J. Probability of Future Climatically Significant Volcanic Eruptions.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Clim</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13</w:t>
      </w:r>
      <w:r>
        <w:rPr>
          <w:rFonts w:ascii="Times New Roman" w:eastAsia="Times New Roman" w:hAnsi="Times New Roman" w:cs="Times New Roman"/>
          <w:sz w:val="24"/>
          <w:szCs w:val="24"/>
        </w:rPr>
        <w:t>, 1445–1450 (2000).</w:t>
      </w:r>
    </w:p>
    <w:p w14:paraId="00979A25"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Bethke</w:t>
      </w:r>
      <w:proofErr w:type="spellEnd"/>
      <w:r>
        <w:rPr>
          <w:rFonts w:ascii="Times New Roman" w:eastAsia="Times New Roman" w:hAnsi="Times New Roman" w:cs="Times New Roman"/>
          <w:sz w:val="24"/>
          <w:szCs w:val="24"/>
        </w:rPr>
        <w:t xml:space="preserve">, 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Potential volcanic impacts on future climate variability. </w:t>
      </w:r>
      <w:r>
        <w:rPr>
          <w:rFonts w:ascii="Times New Roman" w:eastAsia="Times New Roman" w:hAnsi="Times New Roman" w:cs="Times New Roman"/>
          <w:i/>
          <w:sz w:val="24"/>
          <w:szCs w:val="24"/>
        </w:rPr>
        <w:t xml:space="preserve">Nat. </w:t>
      </w:r>
      <w:proofErr w:type="spellStart"/>
      <w:r>
        <w:rPr>
          <w:rFonts w:ascii="Times New Roman" w:eastAsia="Times New Roman" w:hAnsi="Times New Roman" w:cs="Times New Roman"/>
          <w:i/>
          <w:sz w:val="24"/>
          <w:szCs w:val="24"/>
        </w:rPr>
        <w:t>Clim</w:t>
      </w:r>
      <w:proofErr w:type="spellEnd"/>
      <w:r>
        <w:rPr>
          <w:rFonts w:ascii="Times New Roman" w:eastAsia="Times New Roman" w:hAnsi="Times New Roman" w:cs="Times New Roman"/>
          <w:i/>
          <w:sz w:val="24"/>
          <w:szCs w:val="24"/>
        </w:rPr>
        <w:t>. Change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799–805 (2017).</w:t>
      </w:r>
    </w:p>
    <w:p w14:paraId="5301406D"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Rampino</w:t>
      </w:r>
      <w:proofErr w:type="spellEnd"/>
      <w:r>
        <w:rPr>
          <w:rFonts w:ascii="Times New Roman" w:eastAsia="Times New Roman" w:hAnsi="Times New Roman" w:cs="Times New Roman"/>
          <w:sz w:val="24"/>
          <w:szCs w:val="24"/>
        </w:rPr>
        <w:t xml:space="preserve">, M. R., Self, S. &amp; </w:t>
      </w:r>
      <w:proofErr w:type="spellStart"/>
      <w:r>
        <w:rPr>
          <w:rFonts w:ascii="Times New Roman" w:eastAsia="Times New Roman" w:hAnsi="Times New Roman" w:cs="Times New Roman"/>
          <w:sz w:val="24"/>
          <w:szCs w:val="24"/>
        </w:rPr>
        <w:t>Fairbridge</w:t>
      </w:r>
      <w:proofErr w:type="spellEnd"/>
      <w:r>
        <w:rPr>
          <w:rFonts w:ascii="Times New Roman" w:eastAsia="Times New Roman" w:hAnsi="Times New Roman" w:cs="Times New Roman"/>
          <w:sz w:val="24"/>
          <w:szCs w:val="24"/>
        </w:rPr>
        <w:t xml:space="preserve">, R. W. Can Rapid Climatic Change Cause Volcanic Eruptions?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206</w:t>
      </w:r>
      <w:r>
        <w:rPr>
          <w:rFonts w:ascii="Times New Roman" w:eastAsia="Times New Roman" w:hAnsi="Times New Roman" w:cs="Times New Roman"/>
          <w:sz w:val="24"/>
          <w:szCs w:val="24"/>
        </w:rPr>
        <w:t>, 826–829 (1979).</w:t>
      </w:r>
    </w:p>
    <w:p w14:paraId="72117E45"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Liggins</w:t>
      </w:r>
      <w:proofErr w:type="spellEnd"/>
      <w:r>
        <w:rPr>
          <w:rFonts w:ascii="Times New Roman" w:eastAsia="Times New Roman" w:hAnsi="Times New Roman" w:cs="Times New Roman"/>
          <w:sz w:val="24"/>
          <w:szCs w:val="24"/>
        </w:rPr>
        <w:t>, F., Betts</w:t>
      </w:r>
      <w:r>
        <w:rPr>
          <w:rFonts w:ascii="Times New Roman" w:eastAsia="Times New Roman" w:hAnsi="Times New Roman" w:cs="Times New Roman"/>
          <w:sz w:val="24"/>
          <w:szCs w:val="24"/>
        </w:rPr>
        <w:t xml:space="preserve">, R. A. &amp; McGuire, B. Projected future climate changes in the context of geological and geomorphological hazards. </w:t>
      </w:r>
      <w:r>
        <w:rPr>
          <w:rFonts w:ascii="Times New Roman" w:eastAsia="Times New Roman" w:hAnsi="Times New Roman" w:cs="Times New Roman"/>
          <w:i/>
          <w:sz w:val="24"/>
          <w:szCs w:val="24"/>
        </w:rPr>
        <w:t>Philos. Trans. R. Soc. Math. Phys. Eng. Sci.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368</w:t>
      </w:r>
      <w:r>
        <w:rPr>
          <w:rFonts w:ascii="Times New Roman" w:eastAsia="Times New Roman" w:hAnsi="Times New Roman" w:cs="Times New Roman"/>
          <w:sz w:val="24"/>
          <w:szCs w:val="24"/>
        </w:rPr>
        <w:t>, 2347–2367 (2010).</w:t>
      </w:r>
    </w:p>
    <w:p w14:paraId="24261F38"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Pr>
          <w:rFonts w:ascii="Times New Roman" w:eastAsia="Times New Roman" w:hAnsi="Times New Roman" w:cs="Times New Roman"/>
          <w:sz w:val="24"/>
          <w:szCs w:val="24"/>
        </w:rPr>
        <w:tab/>
        <w:t xml:space="preserve">Cooper, C. L., Swindles, G. T., </w:t>
      </w:r>
      <w:proofErr w:type="spellStart"/>
      <w:r>
        <w:rPr>
          <w:rFonts w:ascii="Times New Roman" w:eastAsia="Times New Roman" w:hAnsi="Times New Roman" w:cs="Times New Roman"/>
          <w:sz w:val="24"/>
          <w:szCs w:val="24"/>
        </w:rPr>
        <w:t>Savov</w:t>
      </w:r>
      <w:proofErr w:type="spellEnd"/>
      <w:r>
        <w:rPr>
          <w:rFonts w:ascii="Times New Roman" w:eastAsia="Times New Roman" w:hAnsi="Times New Roman" w:cs="Times New Roman"/>
          <w:sz w:val="24"/>
          <w:szCs w:val="24"/>
        </w:rPr>
        <w:t>, I. P., Schmidt, A. &amp; Bacon,</w:t>
      </w:r>
      <w:r>
        <w:rPr>
          <w:rFonts w:ascii="Times New Roman" w:eastAsia="Times New Roman" w:hAnsi="Times New Roman" w:cs="Times New Roman"/>
          <w:sz w:val="24"/>
          <w:szCs w:val="24"/>
        </w:rPr>
        <w:t xml:space="preserve"> K. L. Evaluating the relationship between climate change and volcanism. </w:t>
      </w:r>
      <w:r>
        <w:rPr>
          <w:rFonts w:ascii="Times New Roman" w:eastAsia="Times New Roman" w:hAnsi="Times New Roman" w:cs="Times New Roman"/>
          <w:i/>
          <w:sz w:val="24"/>
          <w:szCs w:val="24"/>
        </w:rPr>
        <w:t>Earth-Sci. Rev.</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177</w:t>
      </w:r>
      <w:r>
        <w:rPr>
          <w:rFonts w:ascii="Times New Roman" w:eastAsia="Times New Roman" w:hAnsi="Times New Roman" w:cs="Times New Roman"/>
          <w:sz w:val="24"/>
          <w:szCs w:val="24"/>
        </w:rPr>
        <w:t>, 238–247 (2018).</w:t>
      </w:r>
    </w:p>
    <w:p w14:paraId="65886E73"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Pr>
          <w:rFonts w:ascii="Times New Roman" w:eastAsia="Times New Roman" w:hAnsi="Times New Roman" w:cs="Times New Roman"/>
          <w:sz w:val="24"/>
          <w:szCs w:val="24"/>
        </w:rPr>
        <w:tab/>
        <w:t xml:space="preserve">Albino, F., </w:t>
      </w:r>
      <w:proofErr w:type="spellStart"/>
      <w:r>
        <w:rPr>
          <w:rFonts w:ascii="Times New Roman" w:eastAsia="Times New Roman" w:hAnsi="Times New Roman" w:cs="Times New Roman"/>
          <w:sz w:val="24"/>
          <w:szCs w:val="24"/>
        </w:rPr>
        <w:t>Pinel</w:t>
      </w:r>
      <w:proofErr w:type="spellEnd"/>
      <w:r>
        <w:rPr>
          <w:rFonts w:ascii="Times New Roman" w:eastAsia="Times New Roman" w:hAnsi="Times New Roman" w:cs="Times New Roman"/>
          <w:sz w:val="24"/>
          <w:szCs w:val="24"/>
        </w:rPr>
        <w:t xml:space="preserve">, V. &amp; </w:t>
      </w:r>
      <w:proofErr w:type="spellStart"/>
      <w:r>
        <w:rPr>
          <w:rFonts w:ascii="Times New Roman" w:eastAsia="Times New Roman" w:hAnsi="Times New Roman" w:cs="Times New Roman"/>
          <w:sz w:val="24"/>
          <w:szCs w:val="24"/>
        </w:rPr>
        <w:t>Sigmundsson</w:t>
      </w:r>
      <w:proofErr w:type="spellEnd"/>
      <w:r>
        <w:rPr>
          <w:rFonts w:ascii="Times New Roman" w:eastAsia="Times New Roman" w:hAnsi="Times New Roman" w:cs="Times New Roman"/>
          <w:sz w:val="24"/>
          <w:szCs w:val="24"/>
        </w:rPr>
        <w:t>, F. Influence of surface load variations on eruption likelihood: application to two Icelandic subglaci</w:t>
      </w:r>
      <w:r>
        <w:rPr>
          <w:rFonts w:ascii="Times New Roman" w:eastAsia="Times New Roman" w:hAnsi="Times New Roman" w:cs="Times New Roman"/>
          <w:sz w:val="24"/>
          <w:szCs w:val="24"/>
        </w:rPr>
        <w:t xml:space="preserve">al volcanoes, </w:t>
      </w:r>
      <w:proofErr w:type="spellStart"/>
      <w:r>
        <w:rPr>
          <w:rFonts w:ascii="Times New Roman" w:eastAsia="Times New Roman" w:hAnsi="Times New Roman" w:cs="Times New Roman"/>
          <w:sz w:val="24"/>
          <w:szCs w:val="24"/>
        </w:rPr>
        <w:t>Grímsvötn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Katla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Geophys</w:t>
      </w:r>
      <w:proofErr w:type="spellEnd"/>
      <w:r>
        <w:rPr>
          <w:rFonts w:ascii="Times New Roman" w:eastAsia="Times New Roman" w:hAnsi="Times New Roman" w:cs="Times New Roman"/>
          <w:i/>
          <w:sz w:val="24"/>
          <w:szCs w:val="24"/>
        </w:rPr>
        <w:t>. J. Int.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181</w:t>
      </w:r>
      <w:r>
        <w:rPr>
          <w:rFonts w:ascii="Times New Roman" w:eastAsia="Times New Roman" w:hAnsi="Times New Roman" w:cs="Times New Roman"/>
          <w:sz w:val="24"/>
          <w:szCs w:val="24"/>
        </w:rPr>
        <w:t>, 1510–1524 (2010).</w:t>
      </w:r>
    </w:p>
    <w:p w14:paraId="3E021A14"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Pr>
          <w:rFonts w:ascii="Times New Roman" w:eastAsia="Times New Roman" w:hAnsi="Times New Roman" w:cs="Times New Roman"/>
          <w:sz w:val="24"/>
          <w:szCs w:val="24"/>
        </w:rPr>
        <w:tab/>
        <w:t xml:space="preserve">Swindles, G. T.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Climatic control on Icelandic volcanic activity during the mid-Holocene. </w:t>
      </w:r>
      <w:r>
        <w:rPr>
          <w:rFonts w:ascii="Times New Roman" w:eastAsia="Times New Roman" w:hAnsi="Times New Roman" w:cs="Times New Roman"/>
          <w:i/>
          <w:sz w:val="24"/>
          <w:szCs w:val="24"/>
        </w:rPr>
        <w:t>Geology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46</w:t>
      </w:r>
      <w:r>
        <w:rPr>
          <w:rFonts w:ascii="Times New Roman" w:eastAsia="Times New Roman" w:hAnsi="Times New Roman" w:cs="Times New Roman"/>
          <w:sz w:val="24"/>
          <w:szCs w:val="24"/>
        </w:rPr>
        <w:t>, 47–50 (2017).</w:t>
      </w:r>
    </w:p>
    <w:p w14:paraId="71AF451C"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Pr>
          <w:rFonts w:ascii="Times New Roman" w:eastAsia="Times New Roman" w:hAnsi="Times New Roman" w:cs="Times New Roman"/>
          <w:sz w:val="24"/>
          <w:szCs w:val="24"/>
        </w:rPr>
        <w:tab/>
        <w:t>Bay, R. C., Bramall, N. &amp; Price, P. B. Bipol</w:t>
      </w:r>
      <w:r>
        <w:rPr>
          <w:rFonts w:ascii="Times New Roman" w:eastAsia="Times New Roman" w:hAnsi="Times New Roman" w:cs="Times New Roman"/>
          <w:sz w:val="24"/>
          <w:szCs w:val="24"/>
        </w:rPr>
        <w:t xml:space="preserve">ar correlation of volcanism with millennial climate change. </w:t>
      </w:r>
      <w:r>
        <w:rPr>
          <w:rFonts w:ascii="Times New Roman" w:eastAsia="Times New Roman" w:hAnsi="Times New Roman" w:cs="Times New Roman"/>
          <w:i/>
          <w:sz w:val="24"/>
          <w:szCs w:val="24"/>
        </w:rPr>
        <w:t>Proc. Natl. Acad. Sci.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101</w:t>
      </w:r>
      <w:r>
        <w:rPr>
          <w:rFonts w:ascii="Times New Roman" w:eastAsia="Times New Roman" w:hAnsi="Times New Roman" w:cs="Times New Roman"/>
          <w:sz w:val="24"/>
          <w:szCs w:val="24"/>
        </w:rPr>
        <w:t>, 6341–6345 (2004).</w:t>
      </w:r>
    </w:p>
    <w:p w14:paraId="6BFB26D3"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Pr>
          <w:rFonts w:ascii="Times New Roman" w:eastAsia="Times New Roman" w:hAnsi="Times New Roman" w:cs="Times New Roman"/>
          <w:sz w:val="24"/>
          <w:szCs w:val="24"/>
        </w:rPr>
        <w:tab/>
        <w:t xml:space="preserve">Capra, L. Abrupt climatic changes as triggering mechanisms of massive volcanic collapses.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 Geotherm. Res.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155</w:t>
      </w:r>
      <w:r>
        <w:rPr>
          <w:rFonts w:ascii="Times New Roman" w:eastAsia="Times New Roman" w:hAnsi="Times New Roman" w:cs="Times New Roman"/>
          <w:sz w:val="24"/>
          <w:szCs w:val="24"/>
        </w:rPr>
        <w:t>, 329–333 (2006).</w:t>
      </w:r>
    </w:p>
    <w:p w14:paraId="1D0D5CF9"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McGuire, B. Potential for a hazardous </w:t>
      </w:r>
      <w:proofErr w:type="spellStart"/>
      <w:r>
        <w:rPr>
          <w:rFonts w:ascii="Times New Roman" w:eastAsia="Times New Roman" w:hAnsi="Times New Roman" w:cs="Times New Roman"/>
          <w:sz w:val="24"/>
          <w:szCs w:val="24"/>
        </w:rPr>
        <w:t>geospheric</w:t>
      </w:r>
      <w:proofErr w:type="spellEnd"/>
      <w:r>
        <w:rPr>
          <w:rFonts w:ascii="Times New Roman" w:eastAsia="Times New Roman" w:hAnsi="Times New Roman" w:cs="Times New Roman"/>
          <w:sz w:val="24"/>
          <w:szCs w:val="24"/>
        </w:rPr>
        <w:t xml:space="preserve"> response to projected future climate changes. </w:t>
      </w:r>
      <w:r>
        <w:rPr>
          <w:rFonts w:ascii="Times New Roman" w:eastAsia="Times New Roman" w:hAnsi="Times New Roman" w:cs="Times New Roman"/>
          <w:i/>
          <w:sz w:val="24"/>
          <w:szCs w:val="24"/>
        </w:rPr>
        <w:t>Philos. Trans. R. Soc. Math. Phys. Eng. Sci.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368</w:t>
      </w:r>
      <w:r>
        <w:rPr>
          <w:rFonts w:ascii="Times New Roman" w:eastAsia="Times New Roman" w:hAnsi="Times New Roman" w:cs="Times New Roman"/>
          <w:sz w:val="24"/>
          <w:szCs w:val="24"/>
        </w:rPr>
        <w:t>, 2317–2345 (2010).</w:t>
      </w:r>
    </w:p>
    <w:p w14:paraId="24B47AB9"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Lagmay</w:t>
      </w:r>
      <w:proofErr w:type="spellEnd"/>
      <w:r>
        <w:rPr>
          <w:rFonts w:ascii="Times New Roman" w:eastAsia="Times New Roman" w:hAnsi="Times New Roman" w:cs="Times New Roman"/>
          <w:sz w:val="24"/>
          <w:szCs w:val="24"/>
        </w:rPr>
        <w:t xml:space="preserve">, A. M. F., </w:t>
      </w:r>
      <w:proofErr w:type="spellStart"/>
      <w:r>
        <w:rPr>
          <w:rFonts w:ascii="Times New Roman" w:eastAsia="Times New Roman" w:hAnsi="Times New Roman" w:cs="Times New Roman"/>
          <w:sz w:val="24"/>
          <w:szCs w:val="24"/>
        </w:rPr>
        <w:t>Bagtasa</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Crisologo</w:t>
      </w:r>
      <w:proofErr w:type="spellEnd"/>
      <w:r>
        <w:rPr>
          <w:rFonts w:ascii="Times New Roman" w:eastAsia="Times New Roman" w:hAnsi="Times New Roman" w:cs="Times New Roman"/>
          <w:sz w:val="24"/>
          <w:szCs w:val="24"/>
        </w:rPr>
        <w:t xml:space="preserve">, I. A., </w:t>
      </w:r>
      <w:proofErr w:type="spellStart"/>
      <w:r>
        <w:rPr>
          <w:rFonts w:ascii="Times New Roman" w:eastAsia="Times New Roman" w:hAnsi="Times New Roman" w:cs="Times New Roman"/>
          <w:sz w:val="24"/>
          <w:szCs w:val="24"/>
        </w:rPr>
        <w:t>Racoma</w:t>
      </w:r>
      <w:proofErr w:type="spellEnd"/>
      <w:r>
        <w:rPr>
          <w:rFonts w:ascii="Times New Roman" w:eastAsia="Times New Roman" w:hAnsi="Times New Roman" w:cs="Times New Roman"/>
          <w:sz w:val="24"/>
          <w:szCs w:val="24"/>
        </w:rPr>
        <w:t>, B. A. B. &amp; David, C. P. C.</w:t>
      </w:r>
      <w:r>
        <w:rPr>
          <w:rFonts w:ascii="Times New Roman" w:eastAsia="Times New Roman" w:hAnsi="Times New Roman" w:cs="Times New Roman"/>
          <w:sz w:val="24"/>
          <w:szCs w:val="24"/>
        </w:rPr>
        <w:t xml:space="preserve"> Volcanoes magnify Metro Manila’s southwest monsoon rains and lethal floods. </w:t>
      </w:r>
      <w:r>
        <w:rPr>
          <w:rFonts w:ascii="Times New Roman" w:eastAsia="Times New Roman" w:hAnsi="Times New Roman" w:cs="Times New Roman"/>
          <w:i/>
          <w:sz w:val="24"/>
          <w:szCs w:val="24"/>
        </w:rPr>
        <w:t>Front. Earth Sci.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(2015).</w:t>
      </w:r>
    </w:p>
    <w:p w14:paraId="3AD4E2E0"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Paguican</w:t>
      </w:r>
      <w:proofErr w:type="spellEnd"/>
      <w:r>
        <w:rPr>
          <w:rFonts w:ascii="Times New Roman" w:eastAsia="Times New Roman" w:hAnsi="Times New Roman" w:cs="Times New Roman"/>
          <w:sz w:val="24"/>
          <w:szCs w:val="24"/>
        </w:rPr>
        <w:t xml:space="preserve">, E. M. R.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Extreme rainfall-induced lahars and dike breaching, 30 November 2006, </w:t>
      </w:r>
      <w:proofErr w:type="spellStart"/>
      <w:r>
        <w:rPr>
          <w:rFonts w:ascii="Times New Roman" w:eastAsia="Times New Roman" w:hAnsi="Times New Roman" w:cs="Times New Roman"/>
          <w:sz w:val="24"/>
          <w:szCs w:val="24"/>
        </w:rPr>
        <w:t>Mayon</w:t>
      </w:r>
      <w:proofErr w:type="spellEnd"/>
      <w:r>
        <w:rPr>
          <w:rFonts w:ascii="Times New Roman" w:eastAsia="Times New Roman" w:hAnsi="Times New Roman" w:cs="Times New Roman"/>
          <w:sz w:val="24"/>
          <w:szCs w:val="24"/>
        </w:rPr>
        <w:t xml:space="preserve"> Volcano, Philippines. </w:t>
      </w:r>
      <w:r>
        <w:rPr>
          <w:rFonts w:ascii="Times New Roman" w:eastAsia="Times New Roman" w:hAnsi="Times New Roman" w:cs="Times New Roman"/>
          <w:i/>
          <w:sz w:val="24"/>
          <w:szCs w:val="24"/>
        </w:rPr>
        <w:t xml:space="preserve">Bull.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71</w:t>
      </w:r>
      <w:r>
        <w:rPr>
          <w:rFonts w:ascii="Times New Roman" w:eastAsia="Times New Roman" w:hAnsi="Times New Roman" w:cs="Times New Roman"/>
          <w:sz w:val="24"/>
          <w:szCs w:val="24"/>
        </w:rPr>
        <w:t>, 845–857 (2009).</w:t>
      </w:r>
    </w:p>
    <w:p w14:paraId="141072C9"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Pr>
          <w:rFonts w:ascii="Times New Roman" w:eastAsia="Times New Roman" w:hAnsi="Times New Roman" w:cs="Times New Roman"/>
          <w:sz w:val="24"/>
          <w:szCs w:val="24"/>
        </w:rPr>
        <w:tab/>
        <w:t xml:space="preserve">Kataoka, K. S.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Lahar characteristics as a function of triggering mechanism at a seasonally snow-clad volcano: contrasting lahars following the 2014 phreatic eruption of </w:t>
      </w:r>
      <w:proofErr w:type="spellStart"/>
      <w:r>
        <w:rPr>
          <w:rFonts w:ascii="Times New Roman" w:eastAsia="Times New Roman" w:hAnsi="Times New Roman" w:cs="Times New Roman"/>
          <w:sz w:val="24"/>
          <w:szCs w:val="24"/>
        </w:rPr>
        <w:t>Ontake</w:t>
      </w:r>
      <w:proofErr w:type="spellEnd"/>
      <w:r>
        <w:rPr>
          <w:rFonts w:ascii="Times New Roman" w:eastAsia="Times New Roman" w:hAnsi="Times New Roman" w:cs="Times New Roman"/>
          <w:sz w:val="24"/>
          <w:szCs w:val="24"/>
        </w:rPr>
        <w:t xml:space="preserve"> Volcano, Japan. </w:t>
      </w:r>
      <w:r>
        <w:rPr>
          <w:rFonts w:ascii="Times New Roman" w:eastAsia="Times New Roman" w:hAnsi="Times New Roman" w:cs="Times New Roman"/>
          <w:i/>
          <w:sz w:val="24"/>
          <w:szCs w:val="24"/>
        </w:rPr>
        <w:t>Earth Planets Space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70</w:t>
      </w:r>
      <w:r>
        <w:rPr>
          <w:rFonts w:ascii="Times New Roman" w:eastAsia="Times New Roman" w:hAnsi="Times New Roman" w:cs="Times New Roman"/>
          <w:sz w:val="24"/>
          <w:szCs w:val="24"/>
        </w:rPr>
        <w:t>, 113 (201</w:t>
      </w:r>
      <w:r>
        <w:rPr>
          <w:rFonts w:ascii="Times New Roman" w:eastAsia="Times New Roman" w:hAnsi="Times New Roman" w:cs="Times New Roman"/>
          <w:sz w:val="24"/>
          <w:szCs w:val="24"/>
        </w:rPr>
        <w:t>8).</w:t>
      </w:r>
    </w:p>
    <w:p w14:paraId="56104077"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Pr>
          <w:rFonts w:ascii="Times New Roman" w:eastAsia="Times New Roman" w:hAnsi="Times New Roman" w:cs="Times New Roman"/>
          <w:sz w:val="24"/>
          <w:szCs w:val="24"/>
        </w:rPr>
        <w:tab/>
        <w:t xml:space="preserve">Baumann, V.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Mapping the susceptibility of rain-triggered lahars at </w:t>
      </w:r>
      <w:proofErr w:type="spellStart"/>
      <w:r>
        <w:rPr>
          <w:rFonts w:ascii="Times New Roman" w:eastAsia="Times New Roman" w:hAnsi="Times New Roman" w:cs="Times New Roman"/>
          <w:sz w:val="24"/>
          <w:szCs w:val="24"/>
        </w:rPr>
        <w:t>Vulcano</w:t>
      </w:r>
      <w:proofErr w:type="spellEnd"/>
      <w:r>
        <w:rPr>
          <w:rFonts w:ascii="Times New Roman" w:eastAsia="Times New Roman" w:hAnsi="Times New Roman" w:cs="Times New Roman"/>
          <w:sz w:val="24"/>
          <w:szCs w:val="24"/>
        </w:rPr>
        <w:t xml:space="preserve"> island (Italy) combining field characterization, geotechnical analysis, and numerical modelling. </w:t>
      </w:r>
      <w:r>
        <w:rPr>
          <w:rFonts w:ascii="Times New Roman" w:eastAsia="Times New Roman" w:hAnsi="Times New Roman" w:cs="Times New Roman"/>
          <w:i/>
          <w:sz w:val="24"/>
          <w:szCs w:val="24"/>
        </w:rPr>
        <w:t>Nat. Hazards Earth Syst. Sci.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19</w:t>
      </w:r>
      <w:r>
        <w:rPr>
          <w:rFonts w:ascii="Times New Roman" w:eastAsia="Times New Roman" w:hAnsi="Times New Roman" w:cs="Times New Roman"/>
          <w:sz w:val="24"/>
          <w:szCs w:val="24"/>
        </w:rPr>
        <w:t>, 2421–2449 (2019).</w:t>
      </w:r>
    </w:p>
    <w:p w14:paraId="4885FEF4"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Ayonghe</w:t>
      </w:r>
      <w:proofErr w:type="spellEnd"/>
      <w:r>
        <w:rPr>
          <w:rFonts w:ascii="Times New Roman" w:eastAsia="Times New Roman" w:hAnsi="Times New Roman" w:cs="Times New Roman"/>
          <w:sz w:val="24"/>
          <w:szCs w:val="24"/>
        </w:rPr>
        <w:t xml:space="preserve">, S. N., </w:t>
      </w:r>
      <w:proofErr w:type="spellStart"/>
      <w:r>
        <w:rPr>
          <w:rFonts w:ascii="Times New Roman" w:eastAsia="Times New Roman" w:hAnsi="Times New Roman" w:cs="Times New Roman"/>
          <w:sz w:val="24"/>
          <w:szCs w:val="24"/>
        </w:rPr>
        <w:t>Ntasin</w:t>
      </w:r>
      <w:proofErr w:type="spellEnd"/>
      <w:r>
        <w:rPr>
          <w:rFonts w:ascii="Times New Roman" w:eastAsia="Times New Roman" w:hAnsi="Times New Roman" w:cs="Times New Roman"/>
          <w:sz w:val="24"/>
          <w:szCs w:val="24"/>
        </w:rPr>
        <w:t xml:space="preserve">, E. B., </w:t>
      </w:r>
      <w:proofErr w:type="spellStart"/>
      <w:r>
        <w:rPr>
          <w:rFonts w:ascii="Times New Roman" w:eastAsia="Times New Roman" w:hAnsi="Times New Roman" w:cs="Times New Roman"/>
          <w:sz w:val="24"/>
          <w:szCs w:val="24"/>
        </w:rPr>
        <w:t>Samalang</w:t>
      </w:r>
      <w:proofErr w:type="spellEnd"/>
      <w:r>
        <w:rPr>
          <w:rFonts w:ascii="Times New Roman" w:eastAsia="Times New Roman" w:hAnsi="Times New Roman" w:cs="Times New Roman"/>
          <w:sz w:val="24"/>
          <w:szCs w:val="24"/>
        </w:rPr>
        <w:t xml:space="preserve">, P. &amp; Suh, C. E. The June 27, 2001 landslide on volcanic cones in Limbe, Mount Cameroon, West Africa. </w:t>
      </w:r>
      <w:r>
        <w:rPr>
          <w:rFonts w:ascii="Times New Roman" w:eastAsia="Times New Roman" w:hAnsi="Times New Roman" w:cs="Times New Roman"/>
          <w:i/>
          <w:sz w:val="24"/>
          <w:szCs w:val="24"/>
        </w:rPr>
        <w:t>J. Afr. Earth Sci.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39</w:t>
      </w:r>
      <w:r>
        <w:rPr>
          <w:rFonts w:ascii="Times New Roman" w:eastAsia="Times New Roman" w:hAnsi="Times New Roman" w:cs="Times New Roman"/>
          <w:sz w:val="24"/>
          <w:szCs w:val="24"/>
        </w:rPr>
        <w:t>, 435–439 (2004).</w:t>
      </w:r>
    </w:p>
    <w:p w14:paraId="5792BBCB"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Pr>
          <w:rFonts w:ascii="Times New Roman" w:eastAsia="Times New Roman" w:hAnsi="Times New Roman" w:cs="Times New Roman"/>
          <w:sz w:val="24"/>
          <w:szCs w:val="24"/>
        </w:rPr>
        <w:tab/>
        <w:t xml:space="preserve">Marques, R., </w:t>
      </w:r>
      <w:proofErr w:type="spellStart"/>
      <w:r>
        <w:rPr>
          <w:rFonts w:ascii="Times New Roman" w:eastAsia="Times New Roman" w:hAnsi="Times New Roman" w:cs="Times New Roman"/>
          <w:sz w:val="24"/>
          <w:szCs w:val="24"/>
        </w:rPr>
        <w:t>Zêzere</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Trigo</w:t>
      </w:r>
      <w:proofErr w:type="spellEnd"/>
      <w:r>
        <w:rPr>
          <w:rFonts w:ascii="Times New Roman" w:eastAsia="Times New Roman" w:hAnsi="Times New Roman" w:cs="Times New Roman"/>
          <w:sz w:val="24"/>
          <w:szCs w:val="24"/>
        </w:rPr>
        <w:t xml:space="preserve">, R., Gaspar, J. &amp; </w:t>
      </w:r>
      <w:proofErr w:type="spellStart"/>
      <w:r>
        <w:rPr>
          <w:rFonts w:ascii="Times New Roman" w:eastAsia="Times New Roman" w:hAnsi="Times New Roman" w:cs="Times New Roman"/>
          <w:sz w:val="24"/>
          <w:szCs w:val="24"/>
        </w:rPr>
        <w:t>Trigo</w:t>
      </w:r>
      <w:proofErr w:type="spellEnd"/>
      <w:r>
        <w:rPr>
          <w:rFonts w:ascii="Times New Roman" w:eastAsia="Times New Roman" w:hAnsi="Times New Roman" w:cs="Times New Roman"/>
          <w:sz w:val="24"/>
          <w:szCs w:val="24"/>
        </w:rPr>
        <w:t>, I. Rainfall pattern</w:t>
      </w:r>
      <w:r>
        <w:rPr>
          <w:rFonts w:ascii="Times New Roman" w:eastAsia="Times New Roman" w:hAnsi="Times New Roman" w:cs="Times New Roman"/>
          <w:sz w:val="24"/>
          <w:szCs w:val="24"/>
        </w:rPr>
        <w:t xml:space="preserve">s and critical values associated with landslides in </w:t>
      </w:r>
      <w:proofErr w:type="spellStart"/>
      <w:r>
        <w:rPr>
          <w:rFonts w:ascii="Times New Roman" w:eastAsia="Times New Roman" w:hAnsi="Times New Roman" w:cs="Times New Roman"/>
          <w:sz w:val="24"/>
          <w:szCs w:val="24"/>
        </w:rPr>
        <w:t>Povoação</w:t>
      </w:r>
      <w:proofErr w:type="spellEnd"/>
      <w:r>
        <w:rPr>
          <w:rFonts w:ascii="Times New Roman" w:eastAsia="Times New Roman" w:hAnsi="Times New Roman" w:cs="Times New Roman"/>
          <w:sz w:val="24"/>
          <w:szCs w:val="24"/>
        </w:rPr>
        <w:t xml:space="preserve"> County (São Miguel Island, Azores): relationships with the North Atlantic Oscillation. </w:t>
      </w:r>
      <w:proofErr w:type="spellStart"/>
      <w:r>
        <w:rPr>
          <w:rFonts w:ascii="Times New Roman" w:eastAsia="Times New Roman" w:hAnsi="Times New Roman" w:cs="Times New Roman"/>
          <w:i/>
          <w:sz w:val="24"/>
          <w:szCs w:val="24"/>
        </w:rPr>
        <w:t>Hydrol</w:t>
      </w:r>
      <w:proofErr w:type="spellEnd"/>
      <w:r>
        <w:rPr>
          <w:rFonts w:ascii="Times New Roman" w:eastAsia="Times New Roman" w:hAnsi="Times New Roman" w:cs="Times New Roman"/>
          <w:i/>
          <w:sz w:val="24"/>
          <w:szCs w:val="24"/>
        </w:rPr>
        <w:t>. Process.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22</w:t>
      </w:r>
      <w:r>
        <w:rPr>
          <w:rFonts w:ascii="Times New Roman" w:eastAsia="Times New Roman" w:hAnsi="Times New Roman" w:cs="Times New Roman"/>
          <w:sz w:val="24"/>
          <w:szCs w:val="24"/>
        </w:rPr>
        <w:t>, 478–494 (2008).</w:t>
      </w:r>
    </w:p>
    <w:p w14:paraId="333B3CD4"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19.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Towhata</w:t>
      </w:r>
      <w:proofErr w:type="spellEnd"/>
      <w:r>
        <w:rPr>
          <w:rFonts w:ascii="Times New Roman" w:eastAsia="Times New Roman" w:hAnsi="Times New Roman" w:cs="Times New Roman"/>
          <w:sz w:val="24"/>
          <w:szCs w:val="24"/>
        </w:rPr>
        <w:t xml:space="preserve">, 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Mechanism and future risk of slope instabilit</w:t>
      </w:r>
      <w:r>
        <w:rPr>
          <w:rFonts w:ascii="Times New Roman" w:eastAsia="Times New Roman" w:hAnsi="Times New Roman" w:cs="Times New Roman"/>
          <w:sz w:val="24"/>
          <w:szCs w:val="24"/>
        </w:rPr>
        <w:t xml:space="preserve">y induced by extreme rainfall event in </w:t>
      </w:r>
      <w:proofErr w:type="spellStart"/>
      <w:r>
        <w:rPr>
          <w:rFonts w:ascii="Times New Roman" w:eastAsia="Times New Roman" w:hAnsi="Times New Roman" w:cs="Times New Roman"/>
          <w:sz w:val="24"/>
          <w:szCs w:val="24"/>
        </w:rPr>
        <w:t>Izu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Oshima</w:t>
      </w:r>
      <w:proofErr w:type="spellEnd"/>
      <w:r>
        <w:rPr>
          <w:rFonts w:ascii="Times New Roman" w:eastAsia="Times New Roman" w:hAnsi="Times New Roman" w:cs="Times New Roman"/>
          <w:sz w:val="24"/>
          <w:szCs w:val="24"/>
        </w:rPr>
        <w:t xml:space="preserve"> Island, Japan. </w:t>
      </w:r>
      <w:r>
        <w:rPr>
          <w:rFonts w:ascii="Times New Roman" w:eastAsia="Times New Roman" w:hAnsi="Times New Roman" w:cs="Times New Roman"/>
          <w:i/>
          <w:sz w:val="24"/>
          <w:szCs w:val="24"/>
        </w:rPr>
        <w:t>Nat. Hazards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105</w:t>
      </w:r>
      <w:r>
        <w:rPr>
          <w:rFonts w:ascii="Times New Roman" w:eastAsia="Times New Roman" w:hAnsi="Times New Roman" w:cs="Times New Roman"/>
          <w:sz w:val="24"/>
          <w:szCs w:val="24"/>
        </w:rPr>
        <w:t>, 501–530 (2021).</w:t>
      </w:r>
    </w:p>
    <w:p w14:paraId="029961F1"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Eichenberger</w:t>
      </w:r>
      <w:proofErr w:type="spellEnd"/>
      <w:r>
        <w:rPr>
          <w:rFonts w:ascii="Times New Roman" w:eastAsia="Times New Roman" w:hAnsi="Times New Roman" w:cs="Times New Roman"/>
          <w:sz w:val="24"/>
          <w:szCs w:val="24"/>
        </w:rPr>
        <w:t xml:space="preserve">, J., Ferrari, A. &amp; </w:t>
      </w:r>
      <w:proofErr w:type="spellStart"/>
      <w:r>
        <w:rPr>
          <w:rFonts w:ascii="Times New Roman" w:eastAsia="Times New Roman" w:hAnsi="Times New Roman" w:cs="Times New Roman"/>
          <w:sz w:val="24"/>
          <w:szCs w:val="24"/>
        </w:rPr>
        <w:t>Laloui</w:t>
      </w:r>
      <w:proofErr w:type="spellEnd"/>
      <w:r>
        <w:rPr>
          <w:rFonts w:ascii="Times New Roman" w:eastAsia="Times New Roman" w:hAnsi="Times New Roman" w:cs="Times New Roman"/>
          <w:sz w:val="24"/>
          <w:szCs w:val="24"/>
        </w:rPr>
        <w:t xml:space="preserve">, L. Early warning thresholds for partially saturated slopes in volcanic ashes. </w:t>
      </w:r>
      <w:proofErr w:type="spellStart"/>
      <w:r>
        <w:rPr>
          <w:rFonts w:ascii="Times New Roman" w:eastAsia="Times New Roman" w:hAnsi="Times New Roman" w:cs="Times New Roman"/>
          <w:i/>
          <w:sz w:val="24"/>
          <w:szCs w:val="24"/>
        </w:rPr>
        <w:t>Comput</w:t>
      </w:r>
      <w:proofErr w:type="spellEnd"/>
      <w:r>
        <w:rPr>
          <w:rFonts w:ascii="Times New Roman" w:eastAsia="Times New Roman" w:hAnsi="Times New Roman" w:cs="Times New Roman"/>
          <w:i/>
          <w:sz w:val="24"/>
          <w:szCs w:val="24"/>
        </w:rPr>
        <w:t>. Geotech.</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49</w:t>
      </w:r>
      <w:r>
        <w:rPr>
          <w:rFonts w:ascii="Times New Roman" w:eastAsia="Times New Roman" w:hAnsi="Times New Roman" w:cs="Times New Roman"/>
          <w:sz w:val="24"/>
          <w:szCs w:val="24"/>
        </w:rPr>
        <w:t>, 79–89 (2013</w:t>
      </w:r>
      <w:r>
        <w:rPr>
          <w:rFonts w:ascii="Times New Roman" w:eastAsia="Times New Roman" w:hAnsi="Times New Roman" w:cs="Times New Roman"/>
          <w:sz w:val="24"/>
          <w:szCs w:val="24"/>
        </w:rPr>
        <w:t>).</w:t>
      </w:r>
    </w:p>
    <w:p w14:paraId="514F149F"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Manconi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Longpré</w:t>
      </w:r>
      <w:proofErr w:type="spellEnd"/>
      <w:r>
        <w:rPr>
          <w:rFonts w:ascii="Times New Roman" w:eastAsia="Times New Roman" w:hAnsi="Times New Roman" w:cs="Times New Roman"/>
          <w:sz w:val="24"/>
          <w:szCs w:val="24"/>
        </w:rPr>
        <w:t xml:space="preserve">, M.-A., Walter, T. R., Troll, V. R. &amp; </w:t>
      </w:r>
      <w:proofErr w:type="spellStart"/>
      <w:r>
        <w:rPr>
          <w:rFonts w:ascii="Times New Roman" w:eastAsia="Times New Roman" w:hAnsi="Times New Roman" w:cs="Times New Roman"/>
          <w:sz w:val="24"/>
          <w:szCs w:val="24"/>
        </w:rPr>
        <w:t>Hansteen</w:t>
      </w:r>
      <w:proofErr w:type="spellEnd"/>
      <w:r>
        <w:rPr>
          <w:rFonts w:ascii="Times New Roman" w:eastAsia="Times New Roman" w:hAnsi="Times New Roman" w:cs="Times New Roman"/>
          <w:sz w:val="24"/>
          <w:szCs w:val="24"/>
        </w:rPr>
        <w:t xml:space="preserve">, T. H. The effects of flank collapses on volcano plumbing systems. </w:t>
      </w:r>
      <w:r>
        <w:rPr>
          <w:rFonts w:ascii="Times New Roman" w:eastAsia="Times New Roman" w:hAnsi="Times New Roman" w:cs="Times New Roman"/>
          <w:i/>
          <w:sz w:val="24"/>
          <w:szCs w:val="24"/>
        </w:rPr>
        <w:t>Geology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37</w:t>
      </w:r>
      <w:r>
        <w:rPr>
          <w:rFonts w:ascii="Times New Roman" w:eastAsia="Times New Roman" w:hAnsi="Times New Roman" w:cs="Times New Roman"/>
          <w:sz w:val="24"/>
          <w:szCs w:val="24"/>
        </w:rPr>
        <w:t>, 1099–1102 (2009).</w:t>
      </w:r>
    </w:p>
    <w:p w14:paraId="61D6E8D6"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Pr>
          <w:rFonts w:ascii="Times New Roman" w:eastAsia="Times New Roman" w:hAnsi="Times New Roman" w:cs="Times New Roman"/>
          <w:sz w:val="24"/>
          <w:szCs w:val="24"/>
        </w:rPr>
        <w:tab/>
        <w:t xml:space="preserve">McKee, C. O., Wallace, D. A., Almond, R. A. &amp; </w:t>
      </w:r>
      <w:proofErr w:type="spellStart"/>
      <w:r>
        <w:rPr>
          <w:rFonts w:ascii="Times New Roman" w:eastAsia="Times New Roman" w:hAnsi="Times New Roman" w:cs="Times New Roman"/>
          <w:sz w:val="24"/>
          <w:szCs w:val="24"/>
        </w:rPr>
        <w:t>Talai</w:t>
      </w:r>
      <w:proofErr w:type="spellEnd"/>
      <w:r>
        <w:rPr>
          <w:rFonts w:ascii="Times New Roman" w:eastAsia="Times New Roman" w:hAnsi="Times New Roman" w:cs="Times New Roman"/>
          <w:sz w:val="24"/>
          <w:szCs w:val="24"/>
        </w:rPr>
        <w:t>, B. Fatal hydro-erupti</w:t>
      </w:r>
      <w:r>
        <w:rPr>
          <w:rFonts w:ascii="Times New Roman" w:eastAsia="Times New Roman" w:hAnsi="Times New Roman" w:cs="Times New Roman"/>
          <w:sz w:val="24"/>
          <w:szCs w:val="24"/>
        </w:rPr>
        <w:t xml:space="preserve">on of </w:t>
      </w:r>
      <w:proofErr w:type="spellStart"/>
      <w:r>
        <w:rPr>
          <w:rFonts w:ascii="Times New Roman" w:eastAsia="Times New Roman" w:hAnsi="Times New Roman" w:cs="Times New Roman"/>
          <w:sz w:val="24"/>
          <w:szCs w:val="24"/>
        </w:rPr>
        <w:t>Karkar</w:t>
      </w:r>
      <w:proofErr w:type="spellEnd"/>
      <w:r>
        <w:rPr>
          <w:rFonts w:ascii="Times New Roman" w:eastAsia="Times New Roman" w:hAnsi="Times New Roman" w:cs="Times New Roman"/>
          <w:sz w:val="24"/>
          <w:szCs w:val="24"/>
        </w:rPr>
        <w:t xml:space="preserve"> volcano in 1979: Development of a maar-like crater. </w:t>
      </w:r>
      <w:r>
        <w:rPr>
          <w:rFonts w:ascii="Times New Roman" w:eastAsia="Times New Roman" w:hAnsi="Times New Roman" w:cs="Times New Roman"/>
          <w:i/>
          <w:sz w:val="24"/>
          <w:szCs w:val="24"/>
        </w:rPr>
        <w:t>Cooke-</w:t>
      </w:r>
      <w:proofErr w:type="spellStart"/>
      <w:r>
        <w:rPr>
          <w:rFonts w:ascii="Times New Roman" w:eastAsia="Times New Roman" w:hAnsi="Times New Roman" w:cs="Times New Roman"/>
          <w:i/>
          <w:sz w:val="24"/>
          <w:szCs w:val="24"/>
        </w:rPr>
        <w:t>Ravian</w:t>
      </w:r>
      <w:proofErr w:type="spellEnd"/>
      <w:r>
        <w:rPr>
          <w:rFonts w:ascii="Times New Roman" w:eastAsia="Times New Roman" w:hAnsi="Times New Roman" w:cs="Times New Roman"/>
          <w:i/>
          <w:sz w:val="24"/>
          <w:szCs w:val="24"/>
        </w:rPr>
        <w:t xml:space="preserve"> Vol.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 xml:space="preserve">. Pap. Geol. </w:t>
      </w:r>
      <w:proofErr w:type="spellStart"/>
      <w:r>
        <w:rPr>
          <w:rFonts w:ascii="Times New Roman" w:eastAsia="Times New Roman" w:hAnsi="Times New Roman" w:cs="Times New Roman"/>
          <w:i/>
          <w:sz w:val="24"/>
          <w:szCs w:val="24"/>
        </w:rPr>
        <w:t>Surv</w:t>
      </w:r>
      <w:proofErr w:type="spellEnd"/>
      <w:r>
        <w:rPr>
          <w:rFonts w:ascii="Times New Roman" w:eastAsia="Times New Roman" w:hAnsi="Times New Roman" w:cs="Times New Roman"/>
          <w:i/>
          <w:sz w:val="24"/>
          <w:szCs w:val="24"/>
        </w:rPr>
        <w:t>. Papua N. Guin.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10</w:t>
      </w:r>
      <w:r>
        <w:rPr>
          <w:rFonts w:ascii="Times New Roman" w:eastAsia="Times New Roman" w:hAnsi="Times New Roman" w:cs="Times New Roman"/>
          <w:sz w:val="24"/>
          <w:szCs w:val="24"/>
        </w:rPr>
        <w:t>, 63–84.</w:t>
      </w:r>
    </w:p>
    <w:p w14:paraId="0CAF38C1"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Mastin</w:t>
      </w:r>
      <w:proofErr w:type="spellEnd"/>
      <w:r>
        <w:rPr>
          <w:rFonts w:ascii="Times New Roman" w:eastAsia="Times New Roman" w:hAnsi="Times New Roman" w:cs="Times New Roman"/>
          <w:sz w:val="24"/>
          <w:szCs w:val="24"/>
        </w:rPr>
        <w:t>, L. G. Explosive tephra emissions at Mount St. Helens, 1989-1991: The violent escape of magmatic gas follo</w:t>
      </w:r>
      <w:r>
        <w:rPr>
          <w:rFonts w:ascii="Times New Roman" w:eastAsia="Times New Roman" w:hAnsi="Times New Roman" w:cs="Times New Roman"/>
          <w:sz w:val="24"/>
          <w:szCs w:val="24"/>
        </w:rPr>
        <w:t xml:space="preserve">wing storms? </w:t>
      </w:r>
      <w:r>
        <w:rPr>
          <w:rFonts w:ascii="Times New Roman" w:eastAsia="Times New Roman" w:hAnsi="Times New Roman" w:cs="Times New Roman"/>
          <w:i/>
          <w:sz w:val="24"/>
          <w:szCs w:val="24"/>
        </w:rPr>
        <w:t>GSA Bull.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106</w:t>
      </w:r>
      <w:r>
        <w:rPr>
          <w:rFonts w:ascii="Times New Roman" w:eastAsia="Times New Roman" w:hAnsi="Times New Roman" w:cs="Times New Roman"/>
          <w:sz w:val="24"/>
          <w:szCs w:val="24"/>
        </w:rPr>
        <w:t>, 175–185 (1994).</w:t>
      </w:r>
    </w:p>
    <w:p w14:paraId="392103E1"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Pr>
          <w:rFonts w:ascii="Times New Roman" w:eastAsia="Times New Roman" w:hAnsi="Times New Roman" w:cs="Times New Roman"/>
          <w:sz w:val="24"/>
          <w:szCs w:val="24"/>
        </w:rPr>
        <w:tab/>
        <w:t xml:space="preserve">Voight, B., Constantine, E. K., </w:t>
      </w:r>
      <w:proofErr w:type="spellStart"/>
      <w:r>
        <w:rPr>
          <w:rFonts w:ascii="Times New Roman" w:eastAsia="Times New Roman" w:hAnsi="Times New Roman" w:cs="Times New Roman"/>
          <w:sz w:val="24"/>
          <w:szCs w:val="24"/>
        </w:rPr>
        <w:t>Siswowidjoyo</w:t>
      </w:r>
      <w:proofErr w:type="spellEnd"/>
      <w:r>
        <w:rPr>
          <w:rFonts w:ascii="Times New Roman" w:eastAsia="Times New Roman" w:hAnsi="Times New Roman" w:cs="Times New Roman"/>
          <w:sz w:val="24"/>
          <w:szCs w:val="24"/>
        </w:rPr>
        <w:t xml:space="preserve">, S. &amp; </w:t>
      </w:r>
      <w:proofErr w:type="spellStart"/>
      <w:r>
        <w:rPr>
          <w:rFonts w:ascii="Times New Roman" w:eastAsia="Times New Roman" w:hAnsi="Times New Roman" w:cs="Times New Roman"/>
          <w:sz w:val="24"/>
          <w:szCs w:val="24"/>
        </w:rPr>
        <w:t>Torley</w:t>
      </w:r>
      <w:proofErr w:type="spellEnd"/>
      <w:r>
        <w:rPr>
          <w:rFonts w:ascii="Times New Roman" w:eastAsia="Times New Roman" w:hAnsi="Times New Roman" w:cs="Times New Roman"/>
          <w:sz w:val="24"/>
          <w:szCs w:val="24"/>
        </w:rPr>
        <w:t xml:space="preserve">, R. Historical eruptions of Merapi Volcano, Central Java, Indonesia, 1768–1998.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 Geotherm. Res.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100</w:t>
      </w:r>
      <w:r>
        <w:rPr>
          <w:rFonts w:ascii="Times New Roman" w:eastAsia="Times New Roman" w:hAnsi="Times New Roman" w:cs="Times New Roman"/>
          <w:sz w:val="24"/>
          <w:szCs w:val="24"/>
        </w:rPr>
        <w:t>, 69–138 (2000).</w:t>
      </w:r>
    </w:p>
    <w:p w14:paraId="429E9851"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Pr>
          <w:rFonts w:ascii="Times New Roman" w:eastAsia="Times New Roman" w:hAnsi="Times New Roman" w:cs="Times New Roman"/>
          <w:sz w:val="24"/>
          <w:szCs w:val="24"/>
        </w:rPr>
        <w:tab/>
        <w:t>Matthews, A.</w:t>
      </w:r>
      <w:r>
        <w:rPr>
          <w:rFonts w:ascii="Times New Roman" w:eastAsia="Times New Roman" w:hAnsi="Times New Roman" w:cs="Times New Roman"/>
          <w:sz w:val="24"/>
          <w:szCs w:val="24"/>
        </w:rPr>
        <w:t xml:space="preserve"> J.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Rainfall-induced volcanic activity on Montserrat. </w:t>
      </w:r>
      <w:proofErr w:type="spellStart"/>
      <w:r>
        <w:rPr>
          <w:rFonts w:ascii="Times New Roman" w:eastAsia="Times New Roman" w:hAnsi="Times New Roman" w:cs="Times New Roman"/>
          <w:i/>
          <w:sz w:val="24"/>
          <w:szCs w:val="24"/>
        </w:rPr>
        <w:t>Geophys</w:t>
      </w:r>
      <w:proofErr w:type="spellEnd"/>
      <w:r>
        <w:rPr>
          <w:rFonts w:ascii="Times New Roman" w:eastAsia="Times New Roman" w:hAnsi="Times New Roman" w:cs="Times New Roman"/>
          <w:i/>
          <w:sz w:val="24"/>
          <w:szCs w:val="24"/>
        </w:rPr>
        <w:t>. Res. Lett.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29</w:t>
      </w:r>
      <w:r>
        <w:rPr>
          <w:rFonts w:ascii="Times New Roman" w:eastAsia="Times New Roman" w:hAnsi="Times New Roman" w:cs="Times New Roman"/>
          <w:sz w:val="24"/>
          <w:szCs w:val="24"/>
        </w:rPr>
        <w:t>, 22-1-22–4 (2002).</w:t>
      </w:r>
    </w:p>
    <w:p w14:paraId="59464380"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Pr>
          <w:rFonts w:ascii="Times New Roman" w:eastAsia="Times New Roman" w:hAnsi="Times New Roman" w:cs="Times New Roman"/>
          <w:sz w:val="24"/>
          <w:szCs w:val="24"/>
        </w:rPr>
        <w:tab/>
        <w:t xml:space="preserve">Matthews, A. J. &amp; Barclay, J. A </w:t>
      </w:r>
      <w:proofErr w:type="spellStart"/>
      <w:r>
        <w:rPr>
          <w:rFonts w:ascii="Times New Roman" w:eastAsia="Times New Roman" w:hAnsi="Times New Roman" w:cs="Times New Roman"/>
          <w:sz w:val="24"/>
          <w:szCs w:val="24"/>
        </w:rPr>
        <w:t>thermodynamical</w:t>
      </w:r>
      <w:proofErr w:type="spellEnd"/>
      <w:r>
        <w:rPr>
          <w:rFonts w:ascii="Times New Roman" w:eastAsia="Times New Roman" w:hAnsi="Times New Roman" w:cs="Times New Roman"/>
          <w:sz w:val="24"/>
          <w:szCs w:val="24"/>
        </w:rPr>
        <w:t xml:space="preserve"> model for rainfall-triggered volcanic dome collapse. </w:t>
      </w:r>
      <w:proofErr w:type="spellStart"/>
      <w:r>
        <w:rPr>
          <w:rFonts w:ascii="Times New Roman" w:eastAsia="Times New Roman" w:hAnsi="Times New Roman" w:cs="Times New Roman"/>
          <w:i/>
          <w:sz w:val="24"/>
          <w:szCs w:val="24"/>
        </w:rPr>
        <w:t>Geophys</w:t>
      </w:r>
      <w:proofErr w:type="spellEnd"/>
      <w:r>
        <w:rPr>
          <w:rFonts w:ascii="Times New Roman" w:eastAsia="Times New Roman" w:hAnsi="Times New Roman" w:cs="Times New Roman"/>
          <w:i/>
          <w:sz w:val="24"/>
          <w:szCs w:val="24"/>
        </w:rPr>
        <w:t>. Res. Lett.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31</w:t>
      </w:r>
      <w:r>
        <w:rPr>
          <w:rFonts w:ascii="Times New Roman" w:eastAsia="Times New Roman" w:hAnsi="Times New Roman" w:cs="Times New Roman"/>
          <w:sz w:val="24"/>
          <w:szCs w:val="24"/>
        </w:rPr>
        <w:t>, (2004).</w:t>
      </w:r>
    </w:p>
    <w:p w14:paraId="77986ACD"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Hicks, P. D., Matthews, A. J. &amp; Cooker, M. J. Triggering of a volcanic dome collapse by rainwater infiltration.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Geophys</w:t>
      </w:r>
      <w:proofErr w:type="spellEnd"/>
      <w:r>
        <w:rPr>
          <w:rFonts w:ascii="Times New Roman" w:eastAsia="Times New Roman" w:hAnsi="Times New Roman" w:cs="Times New Roman"/>
          <w:i/>
          <w:sz w:val="24"/>
          <w:szCs w:val="24"/>
        </w:rPr>
        <w:t>. Res.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115</w:t>
      </w:r>
      <w:r>
        <w:rPr>
          <w:rFonts w:ascii="Times New Roman" w:eastAsia="Times New Roman" w:hAnsi="Times New Roman" w:cs="Times New Roman"/>
          <w:sz w:val="24"/>
          <w:szCs w:val="24"/>
        </w:rPr>
        <w:t>, B09212 (2010).</w:t>
      </w:r>
    </w:p>
    <w:p w14:paraId="2D462A7E"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Pr>
          <w:rFonts w:ascii="Times New Roman" w:eastAsia="Times New Roman" w:hAnsi="Times New Roman" w:cs="Times New Roman"/>
          <w:sz w:val="24"/>
          <w:szCs w:val="24"/>
        </w:rPr>
        <w:tab/>
        <w:t>Barclay, J., Johnstone, J. E. &amp; Matthews, A. J. Meteorological monitoring of an active volcano: Impl</w:t>
      </w:r>
      <w:r>
        <w:rPr>
          <w:rFonts w:ascii="Times New Roman" w:eastAsia="Times New Roman" w:hAnsi="Times New Roman" w:cs="Times New Roman"/>
          <w:sz w:val="24"/>
          <w:szCs w:val="24"/>
        </w:rPr>
        <w:t xml:space="preserve">ications for eruption prediction.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 Geotherm. Res.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150</w:t>
      </w:r>
      <w:r>
        <w:rPr>
          <w:rFonts w:ascii="Times New Roman" w:eastAsia="Times New Roman" w:hAnsi="Times New Roman" w:cs="Times New Roman"/>
          <w:sz w:val="24"/>
          <w:szCs w:val="24"/>
        </w:rPr>
        <w:t>, 339–358 (2006).</w:t>
      </w:r>
    </w:p>
    <w:p w14:paraId="77D8EC87"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Carn</w:t>
      </w:r>
      <w:proofErr w:type="spellEnd"/>
      <w:r>
        <w:rPr>
          <w:rFonts w:ascii="Times New Roman" w:eastAsia="Times New Roman" w:hAnsi="Times New Roman" w:cs="Times New Roman"/>
          <w:sz w:val="24"/>
          <w:szCs w:val="24"/>
        </w:rPr>
        <w:t xml:space="preserve">, S., Watts, R. B., Thompson, G. &amp; Norton, G. E. Anatomy of a lava dome collapse: the 20 March 2000 event at </w:t>
      </w:r>
      <w:proofErr w:type="spellStart"/>
      <w:r>
        <w:rPr>
          <w:rFonts w:ascii="Times New Roman" w:eastAsia="Times New Roman" w:hAnsi="Times New Roman" w:cs="Times New Roman"/>
          <w:sz w:val="24"/>
          <w:szCs w:val="24"/>
        </w:rPr>
        <w:t>Soufrière</w:t>
      </w:r>
      <w:proofErr w:type="spellEnd"/>
      <w:r>
        <w:rPr>
          <w:rFonts w:ascii="Times New Roman" w:eastAsia="Times New Roman" w:hAnsi="Times New Roman" w:cs="Times New Roman"/>
          <w:sz w:val="24"/>
          <w:szCs w:val="24"/>
        </w:rPr>
        <w:t xml:space="preserve"> Hills Volcano, Montserrat.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 Geo</w:t>
      </w:r>
      <w:r>
        <w:rPr>
          <w:rFonts w:ascii="Times New Roman" w:eastAsia="Times New Roman" w:hAnsi="Times New Roman" w:cs="Times New Roman"/>
          <w:i/>
          <w:sz w:val="24"/>
          <w:szCs w:val="24"/>
        </w:rPr>
        <w:t>therm. Res.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131</w:t>
      </w:r>
      <w:r>
        <w:rPr>
          <w:rFonts w:ascii="Times New Roman" w:eastAsia="Times New Roman" w:hAnsi="Times New Roman" w:cs="Times New Roman"/>
          <w:sz w:val="24"/>
          <w:szCs w:val="24"/>
        </w:rPr>
        <w:t>, 241–264 (2004).</w:t>
      </w:r>
    </w:p>
    <w:p w14:paraId="57F6DF31"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Pr>
          <w:rFonts w:ascii="Times New Roman" w:eastAsia="Times New Roman" w:hAnsi="Times New Roman" w:cs="Times New Roman"/>
          <w:sz w:val="24"/>
          <w:szCs w:val="24"/>
        </w:rPr>
        <w:tab/>
        <w:t xml:space="preserve">Farquharson, J. I. &amp; </w:t>
      </w:r>
      <w:proofErr w:type="spellStart"/>
      <w:r>
        <w:rPr>
          <w:rFonts w:ascii="Times New Roman" w:eastAsia="Times New Roman" w:hAnsi="Times New Roman" w:cs="Times New Roman"/>
          <w:sz w:val="24"/>
          <w:szCs w:val="24"/>
        </w:rPr>
        <w:t>Amelung</w:t>
      </w:r>
      <w:proofErr w:type="spellEnd"/>
      <w:r>
        <w:rPr>
          <w:rFonts w:ascii="Times New Roman" w:eastAsia="Times New Roman" w:hAnsi="Times New Roman" w:cs="Times New Roman"/>
          <w:sz w:val="24"/>
          <w:szCs w:val="24"/>
        </w:rPr>
        <w:t xml:space="preserve">, F. Extreme rainfall triggered the 2018 rift eruption at </w:t>
      </w:r>
      <w:proofErr w:type="spellStart"/>
      <w:r>
        <w:rPr>
          <w:rFonts w:ascii="Times New Roman" w:eastAsia="Times New Roman" w:hAnsi="Times New Roman" w:cs="Times New Roman"/>
          <w:sz w:val="24"/>
          <w:szCs w:val="24"/>
        </w:rPr>
        <w:t>Kīlauea</w:t>
      </w:r>
      <w:proofErr w:type="spellEnd"/>
      <w:r>
        <w:rPr>
          <w:rFonts w:ascii="Times New Roman" w:eastAsia="Times New Roman" w:hAnsi="Times New Roman" w:cs="Times New Roman"/>
          <w:sz w:val="24"/>
          <w:szCs w:val="24"/>
        </w:rPr>
        <w:t xml:space="preserve"> Volcano. </w:t>
      </w:r>
      <w:r>
        <w:rPr>
          <w:rFonts w:ascii="Times New Roman" w:eastAsia="Times New Roman" w:hAnsi="Times New Roman" w:cs="Times New Roman"/>
          <w:i/>
          <w:sz w:val="24"/>
          <w:szCs w:val="24"/>
        </w:rPr>
        <w:t>Nature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580</w:t>
      </w:r>
      <w:r>
        <w:rPr>
          <w:rFonts w:ascii="Times New Roman" w:eastAsia="Times New Roman" w:hAnsi="Times New Roman" w:cs="Times New Roman"/>
          <w:sz w:val="24"/>
          <w:szCs w:val="24"/>
        </w:rPr>
        <w:t>, 491–495 (2020).</w:t>
      </w:r>
    </w:p>
    <w:p w14:paraId="34DD4739"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Pr>
          <w:rFonts w:ascii="Times New Roman" w:eastAsia="Times New Roman" w:hAnsi="Times New Roman" w:cs="Times New Roman"/>
          <w:sz w:val="24"/>
          <w:szCs w:val="24"/>
        </w:rPr>
        <w:tab/>
        <w:t xml:space="preserve">Global Volcanism Program. Report on </w:t>
      </w:r>
      <w:proofErr w:type="spellStart"/>
      <w:r>
        <w:rPr>
          <w:rFonts w:ascii="Times New Roman" w:eastAsia="Times New Roman" w:hAnsi="Times New Roman" w:cs="Times New Roman"/>
          <w:sz w:val="24"/>
          <w:szCs w:val="24"/>
        </w:rPr>
        <w:t>Guagua</w:t>
      </w:r>
      <w:proofErr w:type="spellEnd"/>
      <w:r>
        <w:rPr>
          <w:rFonts w:ascii="Times New Roman" w:eastAsia="Times New Roman" w:hAnsi="Times New Roman" w:cs="Times New Roman"/>
          <w:sz w:val="24"/>
          <w:szCs w:val="24"/>
        </w:rPr>
        <w:t xml:space="preserve"> Pichincha (Ecuador). </w:t>
      </w:r>
      <w:r>
        <w:rPr>
          <w:rFonts w:ascii="Times New Roman" w:eastAsia="Times New Roman" w:hAnsi="Times New Roman" w:cs="Times New Roman"/>
          <w:i/>
          <w:sz w:val="24"/>
          <w:szCs w:val="24"/>
        </w:rPr>
        <w:t xml:space="preserve">Bull. Glob. Volcanism </w:t>
      </w:r>
      <w:proofErr w:type="spellStart"/>
      <w:r>
        <w:rPr>
          <w:rFonts w:ascii="Times New Roman" w:eastAsia="Times New Roman" w:hAnsi="Times New Roman" w:cs="Times New Roman"/>
          <w:i/>
          <w:sz w:val="24"/>
          <w:szCs w:val="24"/>
        </w:rPr>
        <w:t>Netw</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18</w:t>
      </w:r>
      <w:r>
        <w:rPr>
          <w:rFonts w:ascii="Times New Roman" w:eastAsia="Times New Roman" w:hAnsi="Times New Roman" w:cs="Times New Roman"/>
          <w:sz w:val="24"/>
          <w:szCs w:val="24"/>
        </w:rPr>
        <w:t>, (1993).</w:t>
      </w:r>
    </w:p>
    <w:p w14:paraId="2802292E"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Pr>
          <w:rFonts w:ascii="Times New Roman" w:eastAsia="Times New Roman" w:hAnsi="Times New Roman" w:cs="Times New Roman"/>
          <w:sz w:val="24"/>
          <w:szCs w:val="24"/>
        </w:rPr>
        <w:tab/>
        <w:t xml:space="preserve">Global Volcanism Program. Report on </w:t>
      </w:r>
      <w:proofErr w:type="spellStart"/>
      <w:r>
        <w:rPr>
          <w:rFonts w:ascii="Times New Roman" w:eastAsia="Times New Roman" w:hAnsi="Times New Roman" w:cs="Times New Roman"/>
          <w:sz w:val="24"/>
          <w:szCs w:val="24"/>
        </w:rPr>
        <w:t>Karangetang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Siau</w:t>
      </w:r>
      <w:proofErr w:type="spellEnd"/>
      <w:r>
        <w:rPr>
          <w:rFonts w:ascii="Times New Roman" w:eastAsia="Times New Roman" w:hAnsi="Times New Roman" w:cs="Times New Roman"/>
          <w:sz w:val="24"/>
          <w:szCs w:val="24"/>
        </w:rPr>
        <w:t xml:space="preserve">] (Indonesia). </w:t>
      </w:r>
      <w:r>
        <w:rPr>
          <w:rFonts w:ascii="Times New Roman" w:eastAsia="Times New Roman" w:hAnsi="Times New Roman" w:cs="Times New Roman"/>
          <w:i/>
          <w:sz w:val="24"/>
          <w:szCs w:val="24"/>
        </w:rPr>
        <w:t xml:space="preserve">Bull. Glob. Volcanism </w:t>
      </w:r>
      <w:proofErr w:type="spellStart"/>
      <w:r>
        <w:rPr>
          <w:rFonts w:ascii="Times New Roman" w:eastAsia="Times New Roman" w:hAnsi="Times New Roman" w:cs="Times New Roman"/>
          <w:i/>
          <w:sz w:val="24"/>
          <w:szCs w:val="24"/>
        </w:rPr>
        <w:t>Netw</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36</w:t>
      </w:r>
      <w:r>
        <w:rPr>
          <w:rFonts w:ascii="Times New Roman" w:eastAsia="Times New Roman" w:hAnsi="Times New Roman" w:cs="Times New Roman"/>
          <w:sz w:val="24"/>
          <w:szCs w:val="24"/>
        </w:rPr>
        <w:t>, (2011).</w:t>
      </w:r>
    </w:p>
    <w:p w14:paraId="75F28A85"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Pr>
          <w:rFonts w:ascii="Times New Roman" w:eastAsia="Times New Roman" w:hAnsi="Times New Roman" w:cs="Times New Roman"/>
          <w:sz w:val="24"/>
          <w:szCs w:val="24"/>
        </w:rPr>
        <w:tab/>
        <w:t xml:space="preserve">Tebaldi, C., </w:t>
      </w:r>
      <w:proofErr w:type="spellStart"/>
      <w:r>
        <w:rPr>
          <w:rFonts w:ascii="Times New Roman" w:eastAsia="Times New Roman" w:hAnsi="Times New Roman" w:cs="Times New Roman"/>
          <w:sz w:val="24"/>
          <w:szCs w:val="24"/>
        </w:rPr>
        <w:t>Hayhoe</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Arblaster</w:t>
      </w:r>
      <w:proofErr w:type="spellEnd"/>
      <w:r>
        <w:rPr>
          <w:rFonts w:ascii="Times New Roman" w:eastAsia="Times New Roman" w:hAnsi="Times New Roman" w:cs="Times New Roman"/>
          <w:sz w:val="24"/>
          <w:szCs w:val="24"/>
        </w:rPr>
        <w:t xml:space="preserve">, J. M. &amp; </w:t>
      </w:r>
      <w:proofErr w:type="spellStart"/>
      <w:r>
        <w:rPr>
          <w:rFonts w:ascii="Times New Roman" w:eastAsia="Times New Roman" w:hAnsi="Times New Roman" w:cs="Times New Roman"/>
          <w:sz w:val="24"/>
          <w:szCs w:val="24"/>
        </w:rPr>
        <w:t>Meehl</w:t>
      </w:r>
      <w:proofErr w:type="spellEnd"/>
      <w:r>
        <w:rPr>
          <w:rFonts w:ascii="Times New Roman" w:eastAsia="Times New Roman" w:hAnsi="Times New Roman" w:cs="Times New Roman"/>
          <w:sz w:val="24"/>
          <w:szCs w:val="24"/>
        </w:rPr>
        <w:t xml:space="preserve">, G. A. Going to the Extremes. </w:t>
      </w:r>
      <w:proofErr w:type="spellStart"/>
      <w:r>
        <w:rPr>
          <w:rFonts w:ascii="Times New Roman" w:eastAsia="Times New Roman" w:hAnsi="Times New Roman" w:cs="Times New Roman"/>
          <w:i/>
          <w:sz w:val="24"/>
          <w:szCs w:val="24"/>
        </w:rPr>
        <w:t>Clim</w:t>
      </w:r>
      <w:proofErr w:type="spellEnd"/>
      <w:r>
        <w:rPr>
          <w:rFonts w:ascii="Times New Roman" w:eastAsia="Times New Roman" w:hAnsi="Times New Roman" w:cs="Times New Roman"/>
          <w:i/>
          <w:sz w:val="24"/>
          <w:szCs w:val="24"/>
        </w:rPr>
        <w:t>. Chan</w:t>
      </w:r>
      <w:r>
        <w:rPr>
          <w:rFonts w:ascii="Times New Roman" w:eastAsia="Times New Roman" w:hAnsi="Times New Roman" w:cs="Times New Roman"/>
          <w:i/>
          <w:sz w:val="24"/>
          <w:szCs w:val="24"/>
        </w:rPr>
        <w:t>ge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79</w:t>
      </w:r>
      <w:r>
        <w:rPr>
          <w:rFonts w:ascii="Times New Roman" w:eastAsia="Times New Roman" w:hAnsi="Times New Roman" w:cs="Times New Roman"/>
          <w:sz w:val="24"/>
          <w:szCs w:val="24"/>
        </w:rPr>
        <w:t>, 185–211 (2006).</w:t>
      </w:r>
    </w:p>
    <w:p w14:paraId="74B91516"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Pr>
          <w:rFonts w:ascii="Times New Roman" w:eastAsia="Times New Roman" w:hAnsi="Times New Roman" w:cs="Times New Roman"/>
          <w:sz w:val="24"/>
          <w:szCs w:val="24"/>
        </w:rPr>
        <w:tab/>
        <w:t xml:space="preserve">Min, S.-K., Zhang, X., Zwiers, F. W. &amp; </w:t>
      </w:r>
      <w:proofErr w:type="spellStart"/>
      <w:r>
        <w:rPr>
          <w:rFonts w:ascii="Times New Roman" w:eastAsia="Times New Roman" w:hAnsi="Times New Roman" w:cs="Times New Roman"/>
          <w:sz w:val="24"/>
          <w:szCs w:val="24"/>
        </w:rPr>
        <w:t>Hegerl</w:t>
      </w:r>
      <w:proofErr w:type="spellEnd"/>
      <w:r>
        <w:rPr>
          <w:rFonts w:ascii="Times New Roman" w:eastAsia="Times New Roman" w:hAnsi="Times New Roman" w:cs="Times New Roman"/>
          <w:sz w:val="24"/>
          <w:szCs w:val="24"/>
        </w:rPr>
        <w:t xml:space="preserve">, G. C. Human contribution to more-intense precipitation extremes. </w:t>
      </w:r>
      <w:r>
        <w:rPr>
          <w:rFonts w:ascii="Times New Roman" w:eastAsia="Times New Roman" w:hAnsi="Times New Roman" w:cs="Times New Roman"/>
          <w:i/>
          <w:sz w:val="24"/>
          <w:szCs w:val="24"/>
        </w:rPr>
        <w:t>Nature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470</w:t>
      </w:r>
      <w:r>
        <w:rPr>
          <w:rFonts w:ascii="Times New Roman" w:eastAsia="Times New Roman" w:hAnsi="Times New Roman" w:cs="Times New Roman"/>
          <w:sz w:val="24"/>
          <w:szCs w:val="24"/>
        </w:rPr>
        <w:t>, 378–381 (2011).</w:t>
      </w:r>
    </w:p>
    <w:p w14:paraId="7B6AE819"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   </w:t>
      </w:r>
      <w:r>
        <w:rPr>
          <w:rFonts w:ascii="Times New Roman" w:eastAsia="Times New Roman" w:hAnsi="Times New Roman" w:cs="Times New Roman"/>
          <w:sz w:val="24"/>
          <w:szCs w:val="24"/>
        </w:rPr>
        <w:tab/>
        <w:t>Gu, G. &amp; Adler, R. F. Spatial Patterns of Global Precipitation Change and Varia</w:t>
      </w:r>
      <w:r>
        <w:rPr>
          <w:rFonts w:ascii="Times New Roman" w:eastAsia="Times New Roman" w:hAnsi="Times New Roman" w:cs="Times New Roman"/>
          <w:sz w:val="24"/>
          <w:szCs w:val="24"/>
        </w:rPr>
        <w:t xml:space="preserve">bility during 1901–2010.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Clim</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28</w:t>
      </w:r>
      <w:r>
        <w:rPr>
          <w:rFonts w:ascii="Times New Roman" w:eastAsia="Times New Roman" w:hAnsi="Times New Roman" w:cs="Times New Roman"/>
          <w:sz w:val="24"/>
          <w:szCs w:val="24"/>
        </w:rPr>
        <w:t>, 4431–4453 (2015).</w:t>
      </w:r>
    </w:p>
    <w:p w14:paraId="4F56F1B4"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Pr>
          <w:rFonts w:ascii="Times New Roman" w:eastAsia="Times New Roman" w:hAnsi="Times New Roman" w:cs="Times New Roman"/>
          <w:sz w:val="24"/>
          <w:szCs w:val="24"/>
        </w:rPr>
        <w:tab/>
        <w:t xml:space="preserve">Collins, 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Observational challenges in evaluating climate models. </w:t>
      </w:r>
      <w:r>
        <w:rPr>
          <w:rFonts w:ascii="Times New Roman" w:eastAsia="Times New Roman" w:hAnsi="Times New Roman" w:cs="Times New Roman"/>
          <w:i/>
          <w:sz w:val="24"/>
          <w:szCs w:val="24"/>
        </w:rPr>
        <w:t xml:space="preserve">Nat. </w:t>
      </w:r>
      <w:proofErr w:type="spellStart"/>
      <w:r>
        <w:rPr>
          <w:rFonts w:ascii="Times New Roman" w:eastAsia="Times New Roman" w:hAnsi="Times New Roman" w:cs="Times New Roman"/>
          <w:i/>
          <w:sz w:val="24"/>
          <w:szCs w:val="24"/>
        </w:rPr>
        <w:t>Clim</w:t>
      </w:r>
      <w:proofErr w:type="spellEnd"/>
      <w:r>
        <w:rPr>
          <w:rFonts w:ascii="Times New Roman" w:eastAsia="Times New Roman" w:hAnsi="Times New Roman" w:cs="Times New Roman"/>
          <w:i/>
          <w:sz w:val="24"/>
          <w:szCs w:val="24"/>
        </w:rPr>
        <w:t>. Change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940–941 (2013).</w:t>
      </w:r>
    </w:p>
    <w:p w14:paraId="55837283"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37.   </w:t>
      </w:r>
      <w:r>
        <w:rPr>
          <w:rFonts w:ascii="Times New Roman" w:eastAsia="Times New Roman" w:hAnsi="Times New Roman" w:cs="Times New Roman"/>
          <w:sz w:val="24"/>
          <w:szCs w:val="24"/>
        </w:rPr>
        <w:tab/>
        <w:t xml:space="preserve">Fischer, E. M., </w:t>
      </w:r>
      <w:proofErr w:type="spellStart"/>
      <w:r>
        <w:rPr>
          <w:rFonts w:ascii="Times New Roman" w:eastAsia="Times New Roman" w:hAnsi="Times New Roman" w:cs="Times New Roman"/>
          <w:sz w:val="24"/>
          <w:szCs w:val="24"/>
        </w:rPr>
        <w:t>Sedláček</w:t>
      </w:r>
      <w:proofErr w:type="spellEnd"/>
      <w:r>
        <w:rPr>
          <w:rFonts w:ascii="Times New Roman" w:eastAsia="Times New Roman" w:hAnsi="Times New Roman" w:cs="Times New Roman"/>
          <w:sz w:val="24"/>
          <w:szCs w:val="24"/>
        </w:rPr>
        <w:t xml:space="preserve">, J., Hawkins, E. &amp; </w:t>
      </w:r>
      <w:proofErr w:type="spellStart"/>
      <w:r>
        <w:rPr>
          <w:rFonts w:ascii="Times New Roman" w:eastAsia="Times New Roman" w:hAnsi="Times New Roman" w:cs="Times New Roman"/>
          <w:sz w:val="24"/>
          <w:szCs w:val="24"/>
        </w:rPr>
        <w:t>Knutti</w:t>
      </w:r>
      <w:proofErr w:type="spellEnd"/>
      <w:r>
        <w:rPr>
          <w:rFonts w:ascii="Times New Roman" w:eastAsia="Times New Roman" w:hAnsi="Times New Roman" w:cs="Times New Roman"/>
          <w:sz w:val="24"/>
          <w:szCs w:val="24"/>
        </w:rPr>
        <w:t>, R. Models agree on forc</w:t>
      </w:r>
      <w:r>
        <w:rPr>
          <w:rFonts w:ascii="Times New Roman" w:eastAsia="Times New Roman" w:hAnsi="Times New Roman" w:cs="Times New Roman"/>
          <w:sz w:val="24"/>
          <w:szCs w:val="24"/>
        </w:rPr>
        <w:t xml:space="preserve">ed response pattern of precipitation and temperature extremes. </w:t>
      </w:r>
      <w:proofErr w:type="spellStart"/>
      <w:r>
        <w:rPr>
          <w:rFonts w:ascii="Times New Roman" w:eastAsia="Times New Roman" w:hAnsi="Times New Roman" w:cs="Times New Roman"/>
          <w:i/>
          <w:sz w:val="24"/>
          <w:szCs w:val="24"/>
        </w:rPr>
        <w:t>Geophys</w:t>
      </w:r>
      <w:proofErr w:type="spellEnd"/>
      <w:r>
        <w:rPr>
          <w:rFonts w:ascii="Times New Roman" w:eastAsia="Times New Roman" w:hAnsi="Times New Roman" w:cs="Times New Roman"/>
          <w:i/>
          <w:sz w:val="24"/>
          <w:szCs w:val="24"/>
        </w:rPr>
        <w:t>. Res. Lett.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41</w:t>
      </w:r>
      <w:r>
        <w:rPr>
          <w:rFonts w:ascii="Times New Roman" w:eastAsia="Times New Roman" w:hAnsi="Times New Roman" w:cs="Times New Roman"/>
          <w:sz w:val="24"/>
          <w:szCs w:val="24"/>
        </w:rPr>
        <w:t>, 8554–8562 (2014).</w:t>
      </w:r>
    </w:p>
    <w:p w14:paraId="2ECCE98D"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Pfahl</w:t>
      </w:r>
      <w:proofErr w:type="spellEnd"/>
      <w:r>
        <w:rPr>
          <w:rFonts w:ascii="Times New Roman" w:eastAsia="Times New Roman" w:hAnsi="Times New Roman" w:cs="Times New Roman"/>
          <w:sz w:val="24"/>
          <w:szCs w:val="24"/>
        </w:rPr>
        <w:t xml:space="preserve">, S., O’Gorman, P. A. &amp; Fischer, E. M. Understanding the regional pattern of projected future changes in extreme precipitation. </w:t>
      </w:r>
      <w:r>
        <w:rPr>
          <w:rFonts w:ascii="Times New Roman" w:eastAsia="Times New Roman" w:hAnsi="Times New Roman" w:cs="Times New Roman"/>
          <w:i/>
          <w:sz w:val="24"/>
          <w:szCs w:val="24"/>
        </w:rPr>
        <w:t xml:space="preserve">Nat. </w:t>
      </w:r>
      <w:proofErr w:type="spellStart"/>
      <w:r>
        <w:rPr>
          <w:rFonts w:ascii="Times New Roman" w:eastAsia="Times New Roman" w:hAnsi="Times New Roman" w:cs="Times New Roman"/>
          <w:i/>
          <w:sz w:val="24"/>
          <w:szCs w:val="24"/>
        </w:rPr>
        <w:t>Clim</w:t>
      </w:r>
      <w:proofErr w:type="spellEnd"/>
      <w:r>
        <w:rPr>
          <w:rFonts w:ascii="Times New Roman" w:eastAsia="Times New Roman" w:hAnsi="Times New Roman" w:cs="Times New Roman"/>
          <w:i/>
          <w:sz w:val="24"/>
          <w:szCs w:val="24"/>
        </w:rPr>
        <w:t>. Change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w:t>
      </w:r>
      <w:r>
        <w:rPr>
          <w:rFonts w:ascii="Times New Roman" w:eastAsia="Times New Roman" w:hAnsi="Times New Roman" w:cs="Times New Roman"/>
          <w:sz w:val="24"/>
          <w:szCs w:val="24"/>
        </w:rPr>
        <w:t>, 423–427 (2017).</w:t>
      </w:r>
    </w:p>
    <w:p w14:paraId="06289786"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39.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Hürlimann</w:t>
      </w:r>
      <w:proofErr w:type="spellEnd"/>
      <w:r>
        <w:rPr>
          <w:rFonts w:ascii="Times New Roman" w:eastAsia="Times New Roman" w:hAnsi="Times New Roman" w:cs="Times New Roman"/>
          <w:sz w:val="24"/>
          <w:szCs w:val="24"/>
        </w:rPr>
        <w:t xml:space="preserve">, M., Ledesma, A. &amp; Martí, J. Conditions </w:t>
      </w:r>
      <w:proofErr w:type="spellStart"/>
      <w:r>
        <w:rPr>
          <w:rFonts w:ascii="Times New Roman" w:eastAsia="Times New Roman" w:hAnsi="Times New Roman" w:cs="Times New Roman"/>
          <w:sz w:val="24"/>
          <w:szCs w:val="24"/>
        </w:rPr>
        <w:t>favouring</w:t>
      </w:r>
      <w:proofErr w:type="spellEnd"/>
      <w:r>
        <w:rPr>
          <w:rFonts w:ascii="Times New Roman" w:eastAsia="Times New Roman" w:hAnsi="Times New Roman" w:cs="Times New Roman"/>
          <w:sz w:val="24"/>
          <w:szCs w:val="24"/>
        </w:rPr>
        <w:t xml:space="preserve"> catastrophic landslides on Tenerife (Canary Islands). </w:t>
      </w:r>
      <w:r>
        <w:rPr>
          <w:rFonts w:ascii="Times New Roman" w:eastAsia="Times New Roman" w:hAnsi="Times New Roman" w:cs="Times New Roman"/>
          <w:i/>
          <w:sz w:val="24"/>
          <w:szCs w:val="24"/>
        </w:rPr>
        <w:t>Terra Nova</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11</w:t>
      </w:r>
      <w:r>
        <w:rPr>
          <w:rFonts w:ascii="Times New Roman" w:eastAsia="Times New Roman" w:hAnsi="Times New Roman" w:cs="Times New Roman"/>
          <w:sz w:val="24"/>
          <w:szCs w:val="24"/>
        </w:rPr>
        <w:t>, 106–111 (1999).</w:t>
      </w:r>
    </w:p>
    <w:p w14:paraId="5E49A63A"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40.   </w:t>
      </w:r>
      <w:r>
        <w:rPr>
          <w:rFonts w:ascii="Times New Roman" w:eastAsia="Times New Roman" w:hAnsi="Times New Roman" w:cs="Times New Roman"/>
          <w:sz w:val="24"/>
          <w:szCs w:val="24"/>
        </w:rPr>
        <w:tab/>
        <w:t>Hickson, C. Character of volcanism, volcanic hazards, and ri</w:t>
      </w:r>
      <w:r>
        <w:rPr>
          <w:rFonts w:ascii="Times New Roman" w:eastAsia="Times New Roman" w:hAnsi="Times New Roman" w:cs="Times New Roman"/>
          <w:sz w:val="24"/>
          <w:szCs w:val="24"/>
        </w:rPr>
        <w:t xml:space="preserve">sk, northern end of the Cascade magmatic arc, British Columbia and Washington State. </w:t>
      </w:r>
      <w:r>
        <w:rPr>
          <w:rFonts w:ascii="Times New Roman" w:eastAsia="Times New Roman" w:hAnsi="Times New Roman" w:cs="Times New Roman"/>
          <w:i/>
          <w:sz w:val="24"/>
          <w:szCs w:val="24"/>
        </w:rPr>
        <w:t xml:space="preserve">Bull. - Geol. </w:t>
      </w:r>
      <w:proofErr w:type="spellStart"/>
      <w:r>
        <w:rPr>
          <w:rFonts w:ascii="Times New Roman" w:eastAsia="Times New Roman" w:hAnsi="Times New Roman" w:cs="Times New Roman"/>
          <w:i/>
          <w:sz w:val="24"/>
          <w:szCs w:val="24"/>
        </w:rPr>
        <w:t>Surv</w:t>
      </w:r>
      <w:proofErr w:type="spellEnd"/>
      <w:r>
        <w:rPr>
          <w:rFonts w:ascii="Times New Roman" w:eastAsia="Times New Roman" w:hAnsi="Times New Roman" w:cs="Times New Roman"/>
          <w:i/>
          <w:sz w:val="24"/>
          <w:szCs w:val="24"/>
        </w:rPr>
        <w:t>. Can.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481</w:t>
      </w:r>
      <w:r>
        <w:rPr>
          <w:rFonts w:ascii="Times New Roman" w:eastAsia="Times New Roman" w:hAnsi="Times New Roman" w:cs="Times New Roman"/>
          <w:sz w:val="24"/>
          <w:szCs w:val="24"/>
        </w:rPr>
        <w:t>, 231–250 (1994).</w:t>
      </w:r>
    </w:p>
    <w:p w14:paraId="4A7AE1E7"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r>
        <w:rPr>
          <w:rFonts w:ascii="Times New Roman" w:eastAsia="Times New Roman" w:hAnsi="Times New Roman" w:cs="Times New Roman"/>
          <w:sz w:val="24"/>
          <w:szCs w:val="24"/>
        </w:rPr>
        <w:tab/>
        <w:t xml:space="preserve">Grosse, P., </w:t>
      </w:r>
      <w:proofErr w:type="spellStart"/>
      <w:r>
        <w:rPr>
          <w:rFonts w:ascii="Times New Roman" w:eastAsia="Times New Roman" w:hAnsi="Times New Roman" w:cs="Times New Roman"/>
          <w:sz w:val="24"/>
          <w:szCs w:val="24"/>
        </w:rPr>
        <w:t>Euillades</w:t>
      </w:r>
      <w:proofErr w:type="spellEnd"/>
      <w:r>
        <w:rPr>
          <w:rFonts w:ascii="Times New Roman" w:eastAsia="Times New Roman" w:hAnsi="Times New Roman" w:cs="Times New Roman"/>
          <w:sz w:val="24"/>
          <w:szCs w:val="24"/>
        </w:rPr>
        <w:t xml:space="preserve">, P. A., </w:t>
      </w:r>
      <w:proofErr w:type="spellStart"/>
      <w:r>
        <w:rPr>
          <w:rFonts w:ascii="Times New Roman" w:eastAsia="Times New Roman" w:hAnsi="Times New Roman" w:cs="Times New Roman"/>
          <w:sz w:val="24"/>
          <w:szCs w:val="24"/>
        </w:rPr>
        <w:t>Euillades</w:t>
      </w:r>
      <w:proofErr w:type="spellEnd"/>
      <w:r>
        <w:rPr>
          <w:rFonts w:ascii="Times New Roman" w:eastAsia="Times New Roman" w:hAnsi="Times New Roman" w:cs="Times New Roman"/>
          <w:sz w:val="24"/>
          <w:szCs w:val="24"/>
        </w:rPr>
        <w:t xml:space="preserve">, L. D. &amp; van </w:t>
      </w:r>
      <w:proofErr w:type="spellStart"/>
      <w:r>
        <w:rPr>
          <w:rFonts w:ascii="Times New Roman" w:eastAsia="Times New Roman" w:hAnsi="Times New Roman" w:cs="Times New Roman"/>
          <w:sz w:val="24"/>
          <w:szCs w:val="24"/>
        </w:rPr>
        <w:t>Wyk</w:t>
      </w:r>
      <w:proofErr w:type="spellEnd"/>
      <w:r>
        <w:rPr>
          <w:rFonts w:ascii="Times New Roman" w:eastAsia="Times New Roman" w:hAnsi="Times New Roman" w:cs="Times New Roman"/>
          <w:sz w:val="24"/>
          <w:szCs w:val="24"/>
        </w:rPr>
        <w:t xml:space="preserve"> de Vries, B. A global database of composite volcano morphomet</w:t>
      </w:r>
      <w:r>
        <w:rPr>
          <w:rFonts w:ascii="Times New Roman" w:eastAsia="Times New Roman" w:hAnsi="Times New Roman" w:cs="Times New Roman"/>
          <w:sz w:val="24"/>
          <w:szCs w:val="24"/>
        </w:rPr>
        <w:t xml:space="preserve">ry. </w:t>
      </w:r>
      <w:r>
        <w:rPr>
          <w:rFonts w:ascii="Times New Roman" w:eastAsia="Times New Roman" w:hAnsi="Times New Roman" w:cs="Times New Roman"/>
          <w:i/>
          <w:sz w:val="24"/>
          <w:szCs w:val="24"/>
        </w:rPr>
        <w:t xml:space="preserve">Bull.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76</w:t>
      </w:r>
      <w:r>
        <w:rPr>
          <w:rFonts w:ascii="Times New Roman" w:eastAsia="Times New Roman" w:hAnsi="Times New Roman" w:cs="Times New Roman"/>
          <w:sz w:val="24"/>
          <w:szCs w:val="24"/>
        </w:rPr>
        <w:t>, 784 (2013).</w:t>
      </w:r>
    </w:p>
    <w:p w14:paraId="673924CC"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r>
        <w:rPr>
          <w:rFonts w:ascii="Times New Roman" w:eastAsia="Times New Roman" w:hAnsi="Times New Roman" w:cs="Times New Roman"/>
          <w:sz w:val="24"/>
          <w:szCs w:val="24"/>
        </w:rPr>
        <w:tab/>
        <w:t xml:space="preserve">Deeming, K. R., McGuire, B. &amp; Harrop, P. Climate forcing of volcano lateral collapse: evidence from Mount Etna, Sicily. </w:t>
      </w:r>
      <w:r>
        <w:rPr>
          <w:rFonts w:ascii="Times New Roman" w:eastAsia="Times New Roman" w:hAnsi="Times New Roman" w:cs="Times New Roman"/>
          <w:i/>
          <w:sz w:val="24"/>
          <w:szCs w:val="24"/>
        </w:rPr>
        <w:t>Philos. Trans. R. Soc. Math. Phys. Eng. Sci.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368</w:t>
      </w:r>
      <w:r>
        <w:rPr>
          <w:rFonts w:ascii="Times New Roman" w:eastAsia="Times New Roman" w:hAnsi="Times New Roman" w:cs="Times New Roman"/>
          <w:sz w:val="24"/>
          <w:szCs w:val="24"/>
        </w:rPr>
        <w:t>, 2559–2577 (2010).</w:t>
      </w:r>
    </w:p>
    <w:p w14:paraId="164583B3"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w:t>
      </w:r>
      <w:r>
        <w:rPr>
          <w:rFonts w:ascii="Times New Roman" w:eastAsia="Times New Roman" w:hAnsi="Times New Roman" w:cs="Times New Roman"/>
          <w:sz w:val="24"/>
          <w:szCs w:val="24"/>
        </w:rPr>
        <w:tab/>
        <w:t>Jones, R., Manvill</w:t>
      </w:r>
      <w:r>
        <w:rPr>
          <w:rFonts w:ascii="Times New Roman" w:eastAsia="Times New Roman" w:hAnsi="Times New Roman" w:cs="Times New Roman"/>
          <w:sz w:val="24"/>
          <w:szCs w:val="24"/>
        </w:rPr>
        <w:t xml:space="preserve">e, V., </w:t>
      </w:r>
      <w:proofErr w:type="spellStart"/>
      <w:r>
        <w:rPr>
          <w:rFonts w:ascii="Times New Roman" w:eastAsia="Times New Roman" w:hAnsi="Times New Roman" w:cs="Times New Roman"/>
          <w:sz w:val="24"/>
          <w:szCs w:val="24"/>
        </w:rPr>
        <w:t>Peakall</w:t>
      </w:r>
      <w:proofErr w:type="spellEnd"/>
      <w:r>
        <w:rPr>
          <w:rFonts w:ascii="Times New Roman" w:eastAsia="Times New Roman" w:hAnsi="Times New Roman" w:cs="Times New Roman"/>
          <w:sz w:val="24"/>
          <w:szCs w:val="24"/>
        </w:rPr>
        <w:t xml:space="preserve">, J., Froude, M. J. &amp; </w:t>
      </w:r>
      <w:proofErr w:type="spellStart"/>
      <w:r>
        <w:rPr>
          <w:rFonts w:ascii="Times New Roman" w:eastAsia="Times New Roman" w:hAnsi="Times New Roman" w:cs="Times New Roman"/>
          <w:sz w:val="24"/>
          <w:szCs w:val="24"/>
        </w:rPr>
        <w:t>Odbert</w:t>
      </w:r>
      <w:proofErr w:type="spellEnd"/>
      <w:r>
        <w:rPr>
          <w:rFonts w:ascii="Times New Roman" w:eastAsia="Times New Roman" w:hAnsi="Times New Roman" w:cs="Times New Roman"/>
          <w:sz w:val="24"/>
          <w:szCs w:val="24"/>
        </w:rPr>
        <w:t xml:space="preserve">, H. M. Real-time prediction of rain-triggered lahars: incorporating seasonality and catchment recovery. </w:t>
      </w:r>
      <w:r>
        <w:rPr>
          <w:rFonts w:ascii="Times New Roman" w:eastAsia="Times New Roman" w:hAnsi="Times New Roman" w:cs="Times New Roman"/>
          <w:i/>
          <w:sz w:val="24"/>
          <w:szCs w:val="24"/>
        </w:rPr>
        <w:t>Nat. Hazards Earth Syst. Sci.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17</w:t>
      </w:r>
      <w:r>
        <w:rPr>
          <w:rFonts w:ascii="Times New Roman" w:eastAsia="Times New Roman" w:hAnsi="Times New Roman" w:cs="Times New Roman"/>
          <w:sz w:val="24"/>
          <w:szCs w:val="24"/>
        </w:rPr>
        <w:t>, 2301–2312 (2017).</w:t>
      </w:r>
    </w:p>
    <w:p w14:paraId="03DA187D"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44.   </w:t>
      </w:r>
      <w:r>
        <w:rPr>
          <w:rFonts w:ascii="Times New Roman" w:eastAsia="Times New Roman" w:hAnsi="Times New Roman" w:cs="Times New Roman"/>
          <w:sz w:val="24"/>
          <w:szCs w:val="24"/>
        </w:rPr>
        <w:tab/>
        <w:t xml:space="preserve">Scandone, R., </w:t>
      </w:r>
      <w:proofErr w:type="spellStart"/>
      <w:r>
        <w:rPr>
          <w:rFonts w:ascii="Times New Roman" w:eastAsia="Times New Roman" w:hAnsi="Times New Roman" w:cs="Times New Roman"/>
          <w:sz w:val="24"/>
          <w:szCs w:val="24"/>
        </w:rPr>
        <w:t>Giacomelli</w:t>
      </w:r>
      <w:proofErr w:type="spellEnd"/>
      <w:r>
        <w:rPr>
          <w:rFonts w:ascii="Times New Roman" w:eastAsia="Times New Roman" w:hAnsi="Times New Roman" w:cs="Times New Roman"/>
          <w:sz w:val="24"/>
          <w:szCs w:val="24"/>
        </w:rPr>
        <w:t xml:space="preserve">, L. &amp; </w:t>
      </w:r>
      <w:proofErr w:type="spellStart"/>
      <w:r>
        <w:rPr>
          <w:rFonts w:ascii="Times New Roman" w:eastAsia="Times New Roman" w:hAnsi="Times New Roman" w:cs="Times New Roman"/>
          <w:sz w:val="24"/>
          <w:szCs w:val="24"/>
        </w:rPr>
        <w:t>Gasparini</w:t>
      </w:r>
      <w:proofErr w:type="spellEnd"/>
      <w:r>
        <w:rPr>
          <w:rFonts w:ascii="Times New Roman" w:eastAsia="Times New Roman" w:hAnsi="Times New Roman" w:cs="Times New Roman"/>
          <w:sz w:val="24"/>
          <w:szCs w:val="24"/>
        </w:rPr>
        <w:t>, P. Mount</w:t>
      </w:r>
      <w:r>
        <w:rPr>
          <w:rFonts w:ascii="Times New Roman" w:eastAsia="Times New Roman" w:hAnsi="Times New Roman" w:cs="Times New Roman"/>
          <w:sz w:val="24"/>
          <w:szCs w:val="24"/>
        </w:rPr>
        <w:t xml:space="preserve"> Vesuvius: 2000 years of volcanological observations.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 Geotherm. Res.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58</w:t>
      </w:r>
      <w:r>
        <w:rPr>
          <w:rFonts w:ascii="Times New Roman" w:eastAsia="Times New Roman" w:hAnsi="Times New Roman" w:cs="Times New Roman"/>
          <w:sz w:val="24"/>
          <w:szCs w:val="24"/>
        </w:rPr>
        <w:t>, 5–25 (1993).</w:t>
      </w:r>
    </w:p>
    <w:p w14:paraId="60EA1833"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Rolandi</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Barrella</w:t>
      </w:r>
      <w:proofErr w:type="spellEnd"/>
      <w:r>
        <w:rPr>
          <w:rFonts w:ascii="Times New Roman" w:eastAsia="Times New Roman" w:hAnsi="Times New Roman" w:cs="Times New Roman"/>
          <w:sz w:val="24"/>
          <w:szCs w:val="24"/>
        </w:rPr>
        <w:t xml:space="preserve">, A. M. &amp; Borrelli, A. The 1631 eruption of Vesuvius.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 Geotherm. Res.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58</w:t>
      </w:r>
      <w:r>
        <w:rPr>
          <w:rFonts w:ascii="Times New Roman" w:eastAsia="Times New Roman" w:hAnsi="Times New Roman" w:cs="Times New Roman"/>
          <w:sz w:val="24"/>
          <w:szCs w:val="24"/>
        </w:rPr>
        <w:t>, 183–201 (1993).</w:t>
      </w:r>
    </w:p>
    <w:p w14:paraId="0FAF3D7D"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46.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Hervás</w:t>
      </w:r>
      <w:proofErr w:type="spellEnd"/>
      <w:r>
        <w:rPr>
          <w:rFonts w:ascii="Times New Roman" w:eastAsia="Times New Roman" w:hAnsi="Times New Roman" w:cs="Times New Roman"/>
          <w:sz w:val="24"/>
          <w:szCs w:val="24"/>
        </w:rPr>
        <w:t>, J. Lessons L</w:t>
      </w:r>
      <w:r>
        <w:rPr>
          <w:rFonts w:ascii="Times New Roman" w:eastAsia="Times New Roman" w:hAnsi="Times New Roman" w:cs="Times New Roman"/>
          <w:sz w:val="24"/>
          <w:szCs w:val="24"/>
        </w:rPr>
        <w:t>earnt from Landslide Disasters in Europe. in 102.</w:t>
      </w:r>
    </w:p>
    <w:p w14:paraId="50D69989"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47.   </w:t>
      </w:r>
      <w:r>
        <w:rPr>
          <w:rFonts w:ascii="Times New Roman" w:eastAsia="Times New Roman" w:hAnsi="Times New Roman" w:cs="Times New Roman"/>
          <w:sz w:val="24"/>
          <w:szCs w:val="24"/>
        </w:rPr>
        <w:tab/>
        <w:t xml:space="preserve">Lavigne, F., </w:t>
      </w:r>
      <w:proofErr w:type="spellStart"/>
      <w:r>
        <w:rPr>
          <w:rFonts w:ascii="Times New Roman" w:eastAsia="Times New Roman" w:hAnsi="Times New Roman" w:cs="Times New Roman"/>
          <w:sz w:val="24"/>
          <w:szCs w:val="24"/>
        </w:rPr>
        <w:t>Thouret</w:t>
      </w:r>
      <w:proofErr w:type="spellEnd"/>
      <w:r>
        <w:rPr>
          <w:rFonts w:ascii="Times New Roman" w:eastAsia="Times New Roman" w:hAnsi="Times New Roman" w:cs="Times New Roman"/>
          <w:sz w:val="24"/>
          <w:szCs w:val="24"/>
        </w:rPr>
        <w:t xml:space="preserve">, J. C., Voight, B., </w:t>
      </w:r>
      <w:proofErr w:type="spellStart"/>
      <w:r>
        <w:rPr>
          <w:rFonts w:ascii="Times New Roman" w:eastAsia="Times New Roman" w:hAnsi="Times New Roman" w:cs="Times New Roman"/>
          <w:sz w:val="24"/>
          <w:szCs w:val="24"/>
        </w:rPr>
        <w:t>Suwa</w:t>
      </w:r>
      <w:proofErr w:type="spellEnd"/>
      <w:r>
        <w:rPr>
          <w:rFonts w:ascii="Times New Roman" w:eastAsia="Times New Roman" w:hAnsi="Times New Roman" w:cs="Times New Roman"/>
          <w:sz w:val="24"/>
          <w:szCs w:val="24"/>
        </w:rPr>
        <w:t xml:space="preserve">, H. &amp; </w:t>
      </w:r>
      <w:proofErr w:type="spellStart"/>
      <w:r>
        <w:rPr>
          <w:rFonts w:ascii="Times New Roman" w:eastAsia="Times New Roman" w:hAnsi="Times New Roman" w:cs="Times New Roman"/>
          <w:sz w:val="24"/>
          <w:szCs w:val="24"/>
        </w:rPr>
        <w:t>Sumaryono</w:t>
      </w:r>
      <w:proofErr w:type="spellEnd"/>
      <w:r>
        <w:rPr>
          <w:rFonts w:ascii="Times New Roman" w:eastAsia="Times New Roman" w:hAnsi="Times New Roman" w:cs="Times New Roman"/>
          <w:sz w:val="24"/>
          <w:szCs w:val="24"/>
        </w:rPr>
        <w:t xml:space="preserve">, A. Lahars at Merapi volcano, Central Java: an overview.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 Geotherm. Res.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100</w:t>
      </w:r>
      <w:r>
        <w:rPr>
          <w:rFonts w:ascii="Times New Roman" w:eastAsia="Times New Roman" w:hAnsi="Times New Roman" w:cs="Times New Roman"/>
          <w:sz w:val="24"/>
          <w:szCs w:val="24"/>
        </w:rPr>
        <w:t>, 423–456 (2000).</w:t>
      </w:r>
    </w:p>
    <w:p w14:paraId="53CCEE4A"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   </w:t>
      </w:r>
      <w:r>
        <w:rPr>
          <w:rFonts w:ascii="Times New Roman" w:eastAsia="Times New Roman" w:hAnsi="Times New Roman" w:cs="Times New Roman"/>
          <w:sz w:val="24"/>
          <w:szCs w:val="24"/>
        </w:rPr>
        <w:tab/>
        <w:t>Global Volcanism Program</w:t>
      </w:r>
      <w:r>
        <w:rPr>
          <w:rFonts w:ascii="Times New Roman" w:eastAsia="Times New Roman" w:hAnsi="Times New Roman" w:cs="Times New Roman"/>
          <w:sz w:val="24"/>
          <w:szCs w:val="24"/>
        </w:rPr>
        <w:t xml:space="preserve">. Report on Fuego (Guatemala). </w:t>
      </w:r>
      <w:r>
        <w:rPr>
          <w:rFonts w:ascii="Times New Roman" w:eastAsia="Times New Roman" w:hAnsi="Times New Roman" w:cs="Times New Roman"/>
          <w:i/>
          <w:sz w:val="24"/>
          <w:szCs w:val="24"/>
        </w:rPr>
        <w:t xml:space="preserve">Sci. Event Alert </w:t>
      </w:r>
      <w:proofErr w:type="spellStart"/>
      <w:r>
        <w:rPr>
          <w:rFonts w:ascii="Times New Roman" w:eastAsia="Times New Roman" w:hAnsi="Times New Roman" w:cs="Times New Roman"/>
          <w:i/>
          <w:sz w:val="24"/>
          <w:szCs w:val="24"/>
        </w:rPr>
        <w:t>Netw</w:t>
      </w:r>
      <w:proofErr w:type="spellEnd"/>
      <w:r>
        <w:rPr>
          <w:rFonts w:ascii="Times New Roman" w:eastAsia="Times New Roman" w:hAnsi="Times New Roman" w:cs="Times New Roman"/>
          <w:i/>
          <w:sz w:val="24"/>
          <w:szCs w:val="24"/>
        </w:rPr>
        <w:t>. Bull.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12</w:t>
      </w:r>
      <w:r>
        <w:rPr>
          <w:rFonts w:ascii="Times New Roman" w:eastAsia="Times New Roman" w:hAnsi="Times New Roman" w:cs="Times New Roman"/>
          <w:sz w:val="24"/>
          <w:szCs w:val="24"/>
        </w:rPr>
        <w:t>, (1987).</w:t>
      </w:r>
    </w:p>
    <w:p w14:paraId="77DE7EB2"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49.   </w:t>
      </w:r>
      <w:r>
        <w:rPr>
          <w:rFonts w:ascii="Times New Roman" w:eastAsia="Times New Roman" w:hAnsi="Times New Roman" w:cs="Times New Roman"/>
          <w:sz w:val="24"/>
          <w:szCs w:val="24"/>
        </w:rPr>
        <w:tab/>
        <w:t xml:space="preserve">Pierson, T. C., Wood, N. J. &amp; </w:t>
      </w:r>
      <w:proofErr w:type="spellStart"/>
      <w:r>
        <w:rPr>
          <w:rFonts w:ascii="Times New Roman" w:eastAsia="Times New Roman" w:hAnsi="Times New Roman" w:cs="Times New Roman"/>
          <w:sz w:val="24"/>
          <w:szCs w:val="24"/>
        </w:rPr>
        <w:t>Driedger</w:t>
      </w:r>
      <w:proofErr w:type="spellEnd"/>
      <w:r>
        <w:rPr>
          <w:rFonts w:ascii="Times New Roman" w:eastAsia="Times New Roman" w:hAnsi="Times New Roman" w:cs="Times New Roman"/>
          <w:sz w:val="24"/>
          <w:szCs w:val="24"/>
        </w:rPr>
        <w:t xml:space="preserve">, C. L. Reducing risk from lahar hazards: concepts, case studies, and roles for scientists. </w:t>
      </w:r>
      <w:r>
        <w:rPr>
          <w:rFonts w:ascii="Times New Roman" w:eastAsia="Times New Roman" w:hAnsi="Times New Roman" w:cs="Times New Roman"/>
          <w:i/>
          <w:sz w:val="24"/>
          <w:szCs w:val="24"/>
        </w:rPr>
        <w:t xml:space="preserve">J. Appl. </w:t>
      </w:r>
      <w:proofErr w:type="spellStart"/>
      <w:r>
        <w:rPr>
          <w:rFonts w:ascii="Times New Roman" w:eastAsia="Times New Roman" w:hAnsi="Times New Roman" w:cs="Times New Roman"/>
          <w:i/>
          <w:sz w:val="24"/>
          <w:szCs w:val="24"/>
        </w:rPr>
        <w:t>Volcanol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16 (2014).</w:t>
      </w:r>
    </w:p>
    <w:p w14:paraId="2DAF6F7F"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Nagatan</w:t>
      </w:r>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K.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Micro-unmanned aerial vehicle-based volcano observation system for debris flow evacuation warning. </w:t>
      </w:r>
      <w:r>
        <w:rPr>
          <w:rFonts w:ascii="Times New Roman" w:eastAsia="Times New Roman" w:hAnsi="Times New Roman" w:cs="Times New Roman"/>
          <w:i/>
          <w:sz w:val="24"/>
          <w:szCs w:val="24"/>
        </w:rPr>
        <w:t>J. Field Robot.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35</w:t>
      </w:r>
      <w:r>
        <w:rPr>
          <w:rFonts w:ascii="Times New Roman" w:eastAsia="Times New Roman" w:hAnsi="Times New Roman" w:cs="Times New Roman"/>
          <w:sz w:val="24"/>
          <w:szCs w:val="24"/>
        </w:rPr>
        <w:t>, 1222–1241 (2018).</w:t>
      </w:r>
    </w:p>
    <w:p w14:paraId="3E55264A"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Sanderson, R. W., </w:t>
      </w:r>
      <w:proofErr w:type="spellStart"/>
      <w:r>
        <w:rPr>
          <w:rFonts w:ascii="Times New Roman" w:eastAsia="Times New Roman" w:hAnsi="Times New Roman" w:cs="Times New Roman"/>
          <w:sz w:val="24"/>
          <w:szCs w:val="24"/>
        </w:rPr>
        <w:t>Matoza</w:t>
      </w:r>
      <w:proofErr w:type="spellEnd"/>
      <w:r>
        <w:rPr>
          <w:rFonts w:ascii="Times New Roman" w:eastAsia="Times New Roman" w:hAnsi="Times New Roman" w:cs="Times New Roman"/>
          <w:sz w:val="24"/>
          <w:szCs w:val="24"/>
        </w:rPr>
        <w:t xml:space="preserve">, R. S., </w:t>
      </w:r>
      <w:proofErr w:type="spellStart"/>
      <w:r>
        <w:rPr>
          <w:rFonts w:ascii="Times New Roman" w:eastAsia="Times New Roman" w:hAnsi="Times New Roman" w:cs="Times New Roman"/>
          <w:sz w:val="24"/>
          <w:szCs w:val="24"/>
        </w:rPr>
        <w:t>Haymon</w:t>
      </w:r>
      <w:proofErr w:type="spellEnd"/>
      <w:r>
        <w:rPr>
          <w:rFonts w:ascii="Times New Roman" w:eastAsia="Times New Roman" w:hAnsi="Times New Roman" w:cs="Times New Roman"/>
          <w:sz w:val="24"/>
          <w:szCs w:val="24"/>
        </w:rPr>
        <w:t xml:space="preserve">, R. M., </w:t>
      </w:r>
      <w:proofErr w:type="spellStart"/>
      <w:r>
        <w:rPr>
          <w:rFonts w:ascii="Times New Roman" w:eastAsia="Times New Roman" w:hAnsi="Times New Roman" w:cs="Times New Roman"/>
          <w:sz w:val="24"/>
          <w:szCs w:val="24"/>
        </w:rPr>
        <w:t>Steidl</w:t>
      </w:r>
      <w:proofErr w:type="spellEnd"/>
      <w:r>
        <w:rPr>
          <w:rFonts w:ascii="Times New Roman" w:eastAsia="Times New Roman" w:hAnsi="Times New Roman" w:cs="Times New Roman"/>
          <w:sz w:val="24"/>
          <w:szCs w:val="24"/>
        </w:rPr>
        <w:t xml:space="preserve">, J. H. &amp; Hegarty, P. Lahar detection using infrasound: Pilot experiment at Mount Adams, WA. </w:t>
      </w:r>
      <w:r>
        <w:rPr>
          <w:rFonts w:ascii="Times New Roman" w:eastAsia="Times New Roman" w:hAnsi="Times New Roman" w:cs="Times New Roman"/>
          <w:i/>
          <w:sz w:val="24"/>
          <w:szCs w:val="24"/>
        </w:rPr>
        <w:t xml:space="preserve">AGU Fall Meet. </w:t>
      </w:r>
      <w:proofErr w:type="spellStart"/>
      <w:r>
        <w:rPr>
          <w:rFonts w:ascii="Times New Roman" w:eastAsia="Times New Roman" w:hAnsi="Times New Roman" w:cs="Times New Roman"/>
          <w:i/>
          <w:sz w:val="24"/>
          <w:szCs w:val="24"/>
        </w:rPr>
        <w:t>Abstr</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13</w:t>
      </w:r>
      <w:r>
        <w:rPr>
          <w:rFonts w:ascii="Times New Roman" w:eastAsia="Times New Roman" w:hAnsi="Times New Roman" w:cs="Times New Roman"/>
          <w:sz w:val="24"/>
          <w:szCs w:val="24"/>
        </w:rPr>
        <w:t>, (2018).</w:t>
      </w:r>
    </w:p>
    <w:p w14:paraId="63AAC5D7"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w:t>
      </w:r>
      <w:r>
        <w:rPr>
          <w:rFonts w:ascii="Times New Roman" w:eastAsia="Times New Roman" w:hAnsi="Times New Roman" w:cs="Times New Roman"/>
          <w:sz w:val="24"/>
          <w:szCs w:val="24"/>
        </w:rPr>
        <w:tab/>
        <w:t xml:space="preserve">Global Volcanism Program. Report on </w:t>
      </w:r>
      <w:proofErr w:type="spellStart"/>
      <w:r>
        <w:rPr>
          <w:rFonts w:ascii="Times New Roman" w:eastAsia="Times New Roman" w:hAnsi="Times New Roman" w:cs="Times New Roman"/>
          <w:sz w:val="24"/>
          <w:szCs w:val="24"/>
        </w:rPr>
        <w:t>Kirishimayama</w:t>
      </w:r>
      <w:proofErr w:type="spellEnd"/>
      <w:r>
        <w:rPr>
          <w:rFonts w:ascii="Times New Roman" w:eastAsia="Times New Roman" w:hAnsi="Times New Roman" w:cs="Times New Roman"/>
          <w:sz w:val="24"/>
          <w:szCs w:val="24"/>
        </w:rPr>
        <w:t xml:space="preserve"> (Japan). </w:t>
      </w:r>
      <w:r>
        <w:rPr>
          <w:rFonts w:ascii="Times New Roman" w:eastAsia="Times New Roman" w:hAnsi="Times New Roman" w:cs="Times New Roman"/>
          <w:i/>
          <w:sz w:val="24"/>
          <w:szCs w:val="24"/>
        </w:rPr>
        <w:t>Bull. Glo</w:t>
      </w:r>
      <w:r>
        <w:rPr>
          <w:rFonts w:ascii="Times New Roman" w:eastAsia="Times New Roman" w:hAnsi="Times New Roman" w:cs="Times New Roman"/>
          <w:i/>
          <w:sz w:val="24"/>
          <w:szCs w:val="24"/>
        </w:rPr>
        <w:t xml:space="preserve">b. Volcanism </w:t>
      </w:r>
      <w:proofErr w:type="spellStart"/>
      <w:r>
        <w:rPr>
          <w:rFonts w:ascii="Times New Roman" w:eastAsia="Times New Roman" w:hAnsi="Times New Roman" w:cs="Times New Roman"/>
          <w:i/>
          <w:sz w:val="24"/>
          <w:szCs w:val="24"/>
        </w:rPr>
        <w:t>Netw</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36</w:t>
      </w:r>
      <w:r>
        <w:rPr>
          <w:rFonts w:ascii="Times New Roman" w:eastAsia="Times New Roman" w:hAnsi="Times New Roman" w:cs="Times New Roman"/>
          <w:sz w:val="24"/>
          <w:szCs w:val="24"/>
        </w:rPr>
        <w:t>, (2011).</w:t>
      </w:r>
    </w:p>
    <w:p w14:paraId="2974A498"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53.   </w:t>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Open-File Report</w:t>
      </w:r>
      <w:r>
        <w:rPr>
          <w:rFonts w:ascii="Times New Roman" w:eastAsia="Times New Roman" w:hAnsi="Times New Roman" w:cs="Times New Roman"/>
          <w:sz w:val="24"/>
          <w:szCs w:val="24"/>
        </w:rPr>
        <w:t>. (1995).</w:t>
      </w:r>
    </w:p>
    <w:p w14:paraId="7ADB2CBD"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Hoblittl</w:t>
      </w:r>
      <w:proofErr w:type="spellEnd"/>
      <w:r>
        <w:rPr>
          <w:rFonts w:ascii="Times New Roman" w:eastAsia="Times New Roman" w:hAnsi="Times New Roman" w:cs="Times New Roman"/>
          <w:sz w:val="24"/>
          <w:szCs w:val="24"/>
        </w:rPr>
        <w:t xml:space="preserve">, R. P.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Volcano Hazards from Mount Rainier, Washington, Revised 1998. 16.</w:t>
      </w:r>
    </w:p>
    <w:p w14:paraId="4550407A"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55.   </w:t>
      </w:r>
      <w:r>
        <w:rPr>
          <w:rFonts w:ascii="Times New Roman" w:eastAsia="Times New Roman" w:hAnsi="Times New Roman" w:cs="Times New Roman"/>
          <w:sz w:val="24"/>
          <w:szCs w:val="24"/>
        </w:rPr>
        <w:tab/>
        <w:t>Volcanic-Hazard Zonation for Mount St. Helens, Washington, 1995. https://pubs.usgs.gov/of</w:t>
      </w:r>
      <w:r>
        <w:rPr>
          <w:rFonts w:ascii="Times New Roman" w:eastAsia="Times New Roman" w:hAnsi="Times New Roman" w:cs="Times New Roman"/>
          <w:sz w:val="24"/>
          <w:szCs w:val="24"/>
        </w:rPr>
        <w:t>/1995/0497/.</w:t>
      </w:r>
    </w:p>
    <w:p w14:paraId="32C65EDD"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56.   </w:t>
      </w:r>
      <w:r>
        <w:rPr>
          <w:rFonts w:ascii="Times New Roman" w:eastAsia="Times New Roman" w:hAnsi="Times New Roman" w:cs="Times New Roman"/>
          <w:sz w:val="24"/>
          <w:szCs w:val="24"/>
        </w:rPr>
        <w:tab/>
        <w:t>Sinclair, G. Processes of policy mobility in the governance of volcanic risk. (Lancaster University, 2019).</w:t>
      </w:r>
    </w:p>
    <w:p w14:paraId="7F321641"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57.   </w:t>
      </w:r>
      <w:r>
        <w:rPr>
          <w:rFonts w:ascii="Times New Roman" w:eastAsia="Times New Roman" w:hAnsi="Times New Roman" w:cs="Times New Roman"/>
          <w:sz w:val="24"/>
          <w:szCs w:val="24"/>
        </w:rPr>
        <w:tab/>
        <w:t xml:space="preserve">McGuire, B. Climate forcing of geological and geomorphological hazards. </w:t>
      </w:r>
      <w:r>
        <w:rPr>
          <w:rFonts w:ascii="Times New Roman" w:eastAsia="Times New Roman" w:hAnsi="Times New Roman" w:cs="Times New Roman"/>
          <w:i/>
          <w:sz w:val="24"/>
          <w:szCs w:val="24"/>
        </w:rPr>
        <w:t>Philos. Trans. R. Soc. Math. Phys. Eng. Sci.</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368</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2311–2315 (2010).</w:t>
      </w:r>
    </w:p>
    <w:p w14:paraId="3F8CB0E0"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58.   </w:t>
      </w:r>
      <w:r>
        <w:rPr>
          <w:rFonts w:ascii="Times New Roman" w:eastAsia="Times New Roman" w:hAnsi="Times New Roman" w:cs="Times New Roman"/>
          <w:sz w:val="24"/>
          <w:szCs w:val="24"/>
        </w:rPr>
        <w:tab/>
        <w:t xml:space="preserve">Impact of global warming on the rise of volcanic plumes and implications for future volcanic aerosol forcing - </w:t>
      </w:r>
      <w:proofErr w:type="spellStart"/>
      <w:r>
        <w:rPr>
          <w:rFonts w:ascii="Times New Roman" w:eastAsia="Times New Roman" w:hAnsi="Times New Roman" w:cs="Times New Roman"/>
          <w:sz w:val="24"/>
          <w:szCs w:val="24"/>
        </w:rPr>
        <w:t>Aubry</w:t>
      </w:r>
      <w:proofErr w:type="spellEnd"/>
      <w:r>
        <w:rPr>
          <w:rFonts w:ascii="Times New Roman" w:eastAsia="Times New Roman" w:hAnsi="Times New Roman" w:cs="Times New Roman"/>
          <w:sz w:val="24"/>
          <w:szCs w:val="24"/>
        </w:rPr>
        <w:t xml:space="preserve"> - 2016 - Journal of Geophysical Research: Atmospheres - Wiley Online Library. https://agupubs.onlinelibrary.wiley</w:t>
      </w:r>
      <w:r>
        <w:rPr>
          <w:rFonts w:ascii="Times New Roman" w:eastAsia="Times New Roman" w:hAnsi="Times New Roman" w:cs="Times New Roman"/>
          <w:sz w:val="24"/>
          <w:szCs w:val="24"/>
        </w:rPr>
        <w:t>.com/doi/full/10.1002/2016JD025405.</w:t>
      </w:r>
    </w:p>
    <w:p w14:paraId="136A658F" w14:textId="77777777" w:rsidR="0055039A" w:rsidRDefault="003A5537">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59.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Poulidis</w:t>
      </w:r>
      <w:proofErr w:type="spellEnd"/>
      <w:r>
        <w:rPr>
          <w:rFonts w:ascii="Times New Roman" w:eastAsia="Times New Roman" w:hAnsi="Times New Roman" w:cs="Times New Roman"/>
          <w:sz w:val="24"/>
          <w:szCs w:val="24"/>
        </w:rPr>
        <w:t xml:space="preserve">, A. P., </w:t>
      </w:r>
      <w:proofErr w:type="spellStart"/>
      <w:r>
        <w:rPr>
          <w:rFonts w:ascii="Times New Roman" w:eastAsia="Times New Roman" w:hAnsi="Times New Roman" w:cs="Times New Roman"/>
          <w:sz w:val="24"/>
          <w:szCs w:val="24"/>
        </w:rPr>
        <w:t>Takemi</w:t>
      </w:r>
      <w:proofErr w:type="spellEnd"/>
      <w:r>
        <w:rPr>
          <w:rFonts w:ascii="Times New Roman" w:eastAsia="Times New Roman" w:hAnsi="Times New Roman" w:cs="Times New Roman"/>
          <w:sz w:val="24"/>
          <w:szCs w:val="24"/>
        </w:rPr>
        <w:t xml:space="preserve">, T., Iguchi, M. &amp; Renfrew, I. A. Orographic effects on the transport and deposition of volcanic ash: A case study of Mount Sakurajima, Japan.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Geophys</w:t>
      </w:r>
      <w:proofErr w:type="spellEnd"/>
      <w:r>
        <w:rPr>
          <w:rFonts w:ascii="Times New Roman" w:eastAsia="Times New Roman" w:hAnsi="Times New Roman" w:cs="Times New Roman"/>
          <w:i/>
          <w:sz w:val="24"/>
          <w:szCs w:val="24"/>
        </w:rPr>
        <w:t>. Res. Atmospheres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122</w:t>
      </w:r>
      <w:r>
        <w:rPr>
          <w:rFonts w:ascii="Times New Roman" w:eastAsia="Times New Roman" w:hAnsi="Times New Roman" w:cs="Times New Roman"/>
          <w:sz w:val="24"/>
          <w:szCs w:val="24"/>
        </w:rPr>
        <w:t>, 9332–9350 (2017).</w:t>
      </w:r>
    </w:p>
    <w:p w14:paraId="73C6CCCD" w14:textId="77777777" w:rsidR="0055039A" w:rsidRDefault="003A5537">
      <w:pPr>
        <w:keepNext/>
        <w:ind w:left="760" w:hanging="3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60. McGuire, W. J.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Correlation between rate of sea-level change and frequency of explosive volcanism in the Mediterranean. </w:t>
      </w:r>
      <w:r>
        <w:rPr>
          <w:rFonts w:ascii="Times New Roman" w:eastAsia="Times New Roman" w:hAnsi="Times New Roman" w:cs="Times New Roman"/>
          <w:i/>
          <w:sz w:val="24"/>
          <w:szCs w:val="24"/>
        </w:rPr>
        <w:t>Nature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389</w:t>
      </w:r>
      <w:r>
        <w:rPr>
          <w:rFonts w:ascii="Times New Roman" w:eastAsia="Times New Roman" w:hAnsi="Times New Roman" w:cs="Times New Roman"/>
          <w:sz w:val="24"/>
          <w:szCs w:val="24"/>
        </w:rPr>
        <w:t>, 473–476 (1997).</w:t>
      </w:r>
    </w:p>
    <w:p w14:paraId="2CABDAF8" w14:textId="77777777" w:rsidR="0055039A" w:rsidRDefault="0055039A">
      <w:pPr>
        <w:keepNext/>
        <w:pBdr>
          <w:top w:val="nil"/>
          <w:left w:val="nil"/>
          <w:bottom w:val="nil"/>
          <w:right w:val="nil"/>
          <w:between w:val="nil"/>
        </w:pBdr>
        <w:spacing w:before="240" w:after="120"/>
        <w:ind w:firstLine="720"/>
        <w:rPr>
          <w:sz w:val="24"/>
          <w:szCs w:val="24"/>
        </w:rPr>
      </w:pPr>
    </w:p>
    <w:p w14:paraId="57FC37BB" w14:textId="77777777" w:rsidR="0055039A" w:rsidRDefault="003A5537">
      <w:pPr>
        <w:pStyle w:val="Heading3"/>
        <w:spacing w:after="120"/>
      </w:pPr>
      <w:bookmarkStart w:id="13" w:name="_5ap0d0kmr4ns" w:colFirst="0" w:colLast="0"/>
      <w:bookmarkEnd w:id="13"/>
      <w:r>
        <w:t>Data Availability</w:t>
      </w:r>
    </w:p>
    <w:p w14:paraId="01F2E065" w14:textId="77777777" w:rsidR="0055039A" w:rsidRDefault="003A5537">
      <w:pPr>
        <w:keepNext/>
        <w:spacing w:before="240" w:after="120"/>
        <w:rPr>
          <w:sz w:val="24"/>
          <w:szCs w:val="24"/>
        </w:rPr>
      </w:pPr>
      <w:r>
        <w:t>Model output data have been obtained through Earth System G</w:t>
      </w:r>
      <w:r>
        <w:t xml:space="preserve">rid Federation servers, in particular the node hosted by the Lawrence Livermore National Laboratory </w:t>
      </w:r>
      <w:hyperlink r:id="rId16">
        <w:r>
          <w:rPr>
            <w:color w:val="0000FF"/>
            <w:u w:val="single"/>
          </w:rPr>
          <w:t>https://esgf-node.llnl.gov/search/cmip5/</w:t>
        </w:r>
      </w:hyperlink>
      <w:r>
        <w:t>. Data generated in the present study are available at t</w:t>
      </w:r>
      <w:r>
        <w:t xml:space="preserve">he following repository: </w:t>
      </w:r>
      <w:r>
        <w:rPr>
          <w:shd w:val="clear" w:color="auto" w:fill="FFF2CC"/>
        </w:rPr>
        <w:t>TBC</w:t>
      </w:r>
      <w:r>
        <w:t>.</w:t>
      </w:r>
    </w:p>
    <w:p w14:paraId="5D9745E7" w14:textId="77777777" w:rsidR="0055039A" w:rsidRDefault="003A5537">
      <w:pPr>
        <w:pStyle w:val="Heading3"/>
        <w:spacing w:after="120"/>
      </w:pPr>
      <w:bookmarkStart w:id="14" w:name="_iuxq4m789ent" w:colFirst="0" w:colLast="0"/>
      <w:bookmarkEnd w:id="14"/>
      <w:r>
        <w:t>Code Availability</w:t>
      </w:r>
    </w:p>
    <w:p w14:paraId="0F618624" w14:textId="77777777" w:rsidR="0055039A" w:rsidRDefault="003A5537">
      <w:pPr>
        <w:keepNext/>
        <w:spacing w:before="240" w:after="120"/>
        <w:rPr>
          <w:sz w:val="24"/>
          <w:szCs w:val="24"/>
        </w:rPr>
      </w:pPr>
      <w:r>
        <w:t xml:space="preserve">All necessary data and code required are provided in the following GitHub repository: </w:t>
      </w:r>
      <w:r>
        <w:rPr>
          <w:highlight w:val="yellow"/>
        </w:rPr>
        <w:t>TBC</w:t>
      </w:r>
      <w:r>
        <w:t xml:space="preserve">. This includes links to relevant open access repositories from which data were accessed. Supplementary material is also provided in the following repository: </w:t>
      </w:r>
      <w:r>
        <w:rPr>
          <w:highlight w:val="yellow"/>
        </w:rPr>
        <w:t>TBC</w:t>
      </w:r>
      <w:r>
        <w:t>.</w:t>
      </w:r>
    </w:p>
    <w:p w14:paraId="2B63C7AE" w14:textId="77777777" w:rsidR="0055039A" w:rsidRDefault="003A5537">
      <w:pPr>
        <w:pStyle w:val="Heading3"/>
        <w:spacing w:after="120"/>
      </w:pPr>
      <w:bookmarkStart w:id="15" w:name="_lty9c64fkwdt" w:colFirst="0" w:colLast="0"/>
      <w:bookmarkEnd w:id="15"/>
      <w:r>
        <w:t>Author Contributions</w:t>
      </w:r>
    </w:p>
    <w:p w14:paraId="2DF02552" w14:textId="77777777" w:rsidR="0055039A" w:rsidRDefault="003A5537">
      <w:pPr>
        <w:keepNext/>
        <w:pBdr>
          <w:top w:val="nil"/>
          <w:left w:val="nil"/>
          <w:bottom w:val="nil"/>
          <w:right w:val="nil"/>
          <w:between w:val="nil"/>
        </w:pBdr>
        <w:spacing w:before="240" w:after="120"/>
      </w:pPr>
      <w:r>
        <w:t>FA and JF conceived the project. JF performed the data processing and a</w:t>
      </w:r>
      <w:r>
        <w:t xml:space="preserve">nalysis. Both authors contributed to writing the manuscript. </w:t>
      </w:r>
    </w:p>
    <w:p w14:paraId="70D47CB9" w14:textId="77777777" w:rsidR="0055039A" w:rsidRDefault="003A5537">
      <w:pPr>
        <w:pStyle w:val="Heading3"/>
        <w:spacing w:after="120"/>
      </w:pPr>
      <w:bookmarkStart w:id="16" w:name="_uvx1igeh5i1l" w:colFirst="0" w:colLast="0"/>
      <w:bookmarkEnd w:id="16"/>
      <w:r>
        <w:t>Conflicts of interest</w:t>
      </w:r>
    </w:p>
    <w:p w14:paraId="22C1BF6B" w14:textId="77777777" w:rsidR="0055039A" w:rsidRDefault="003A5537">
      <w:pPr>
        <w:keepNext/>
        <w:spacing w:before="240" w:after="120"/>
      </w:pPr>
      <w:r>
        <w:t>The authors declare no conflicts of interest.</w:t>
      </w:r>
    </w:p>
    <w:p w14:paraId="7DD9293C" w14:textId="77777777" w:rsidR="0055039A" w:rsidRDefault="003A5537">
      <w:pPr>
        <w:pStyle w:val="Heading3"/>
        <w:spacing w:after="120"/>
      </w:pPr>
      <w:bookmarkStart w:id="17" w:name="_xos97lqbbcor" w:colFirst="0" w:colLast="0"/>
      <w:bookmarkEnd w:id="17"/>
      <w:r>
        <w:t>Acknowledgements</w:t>
      </w:r>
    </w:p>
    <w:p w14:paraId="0F0FD9F0" w14:textId="77777777" w:rsidR="0055039A" w:rsidRDefault="003A5537">
      <w:pPr>
        <w:keepNext/>
        <w:spacing w:before="240" w:after="120"/>
        <w:rPr>
          <w:sz w:val="24"/>
          <w:szCs w:val="24"/>
        </w:rPr>
      </w:pPr>
      <w:r>
        <w:t>We thank the climate modelling groups listed in Table 1 for generating and making publicly available their mo</w:t>
      </w:r>
      <w:r>
        <w:t xml:space="preserve">del data. We also thank the attendant data distribution centers and the World Climate Research </w:t>
      </w:r>
      <w:proofErr w:type="spellStart"/>
      <w:r>
        <w:t>Programme’s</w:t>
      </w:r>
      <w:proofErr w:type="spellEnd"/>
      <w:r>
        <w:t xml:space="preserve"> Working Group on Coupled modelling, which is responsible for CMIP5.  We also thank the Smithsonian Institution for developing and maintaining the Glo</w:t>
      </w:r>
      <w:r>
        <w:t xml:space="preserve">bal Volcanism Program, from which data are openly available. We thank </w:t>
      </w:r>
      <w:proofErr w:type="spellStart"/>
      <w:r>
        <w:t>Sharanya</w:t>
      </w:r>
      <w:proofErr w:type="spellEnd"/>
      <w:r>
        <w:t xml:space="preserve"> Majumdar for invaluable discussions. This work was supported by funding from the NASA’s Interdisciplinary Research in Earth Science (IDS) program (grant number 80NSSC17K0028 P00</w:t>
      </w:r>
      <w:r>
        <w:t>003).</w:t>
      </w:r>
    </w:p>
    <w:p w14:paraId="6E287878" w14:textId="77777777" w:rsidR="0055039A" w:rsidRDefault="003A5537">
      <w:pPr>
        <w:pStyle w:val="Heading3"/>
        <w:spacing w:after="120"/>
      </w:pPr>
      <w:bookmarkStart w:id="18" w:name="_oabd7ljhmphd" w:colFirst="0" w:colLast="0"/>
      <w:bookmarkEnd w:id="18"/>
      <w:r>
        <w:t>Supplementary material</w:t>
      </w:r>
    </w:p>
    <w:p w14:paraId="21A27AD9" w14:textId="77777777" w:rsidR="0055039A" w:rsidRDefault="0055039A"/>
    <w:sectPr w:rsidR="0055039A">
      <w:headerReference w:type="default" r:id="rId17"/>
      <w:footerReference w:type="default" r:id="rId18"/>
      <w:headerReference w:type="first" r:id="rId19"/>
      <w:pgSz w:w="12240" w:h="15840"/>
      <w:pgMar w:top="1440" w:right="1440" w:bottom="1440" w:left="1440" w:header="432"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alk Amelung" w:date="2021-01-25T21:18:00Z" w:initials="">
    <w:p w14:paraId="3019D821" w14:textId="77777777" w:rsidR="0055039A" w:rsidRDefault="003A5537">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Hmm....</w:t>
      </w:r>
    </w:p>
    <w:p w14:paraId="6A8532D1" w14:textId="77777777" w:rsidR="0055039A" w:rsidRDefault="003A5537">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So the models disagree on magnitude and spatial distribution of precipitation change, but agree on  intensity and frequency of extreme precipitation events.</w:t>
      </w:r>
    </w:p>
    <w:p w14:paraId="12FB6B0C" w14:textId="77777777" w:rsidR="0055039A" w:rsidRDefault="0055039A">
      <w:pPr>
        <w:widowControl w:val="0"/>
        <w:pBdr>
          <w:top w:val="nil"/>
          <w:left w:val="nil"/>
          <w:bottom w:val="nil"/>
          <w:right w:val="nil"/>
          <w:between w:val="nil"/>
        </w:pBdr>
        <w:rPr>
          <w:rFonts w:ascii="Arial" w:eastAsia="Arial" w:hAnsi="Arial" w:cs="Arial"/>
          <w:color w:val="000000"/>
        </w:rPr>
      </w:pPr>
    </w:p>
    <w:p w14:paraId="52466D25" w14:textId="77777777" w:rsidR="0055039A" w:rsidRDefault="003A5537">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 know what you want to say and understand it but it is complex...</w:t>
      </w:r>
    </w:p>
    <w:p w14:paraId="72D610B6" w14:textId="77777777" w:rsidR="0055039A" w:rsidRDefault="0055039A">
      <w:pPr>
        <w:widowControl w:val="0"/>
        <w:pBdr>
          <w:top w:val="nil"/>
          <w:left w:val="nil"/>
          <w:bottom w:val="nil"/>
          <w:right w:val="nil"/>
          <w:between w:val="nil"/>
        </w:pBdr>
        <w:rPr>
          <w:rFonts w:ascii="Arial" w:eastAsia="Arial" w:hAnsi="Arial" w:cs="Arial"/>
          <w:color w:val="000000"/>
        </w:rPr>
      </w:pPr>
    </w:p>
    <w:p w14:paraId="194C0204" w14:textId="77777777" w:rsidR="0055039A" w:rsidRDefault="003A5537">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Can't we say the first part in a simpler way? E.g. GCMs are not </w:t>
      </w:r>
      <w:proofErr w:type="spellStart"/>
      <w:r>
        <w:rPr>
          <w:rFonts w:ascii="Arial" w:eastAsia="Arial" w:hAnsi="Arial" w:cs="Arial"/>
          <w:color w:val="000000"/>
        </w:rPr>
        <w:t>skillfull</w:t>
      </w:r>
      <w:proofErr w:type="spellEnd"/>
      <w:r>
        <w:rPr>
          <w:rFonts w:ascii="Arial" w:eastAsia="Arial" w:hAnsi="Arial" w:cs="Arial"/>
          <w:color w:val="000000"/>
        </w:rPr>
        <w:t xml:space="preserve"> at predicting  precipitation but are skillful at predicting extreme events?</w:t>
      </w:r>
    </w:p>
  </w:comment>
  <w:comment w:id="2" w:author="J Farquharson" w:date="2021-01-25T21:42:00Z" w:initials="">
    <w:p w14:paraId="13F61C83" w14:textId="77777777" w:rsidR="0055039A" w:rsidRDefault="003A5537">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It's a bit tricky--just because the models don't agree with each other, doesn't necessarily mean that they</w:t>
      </w:r>
      <w:r>
        <w:rPr>
          <w:rFonts w:ascii="Arial" w:eastAsia="Arial" w:hAnsi="Arial" w:cs="Arial"/>
          <w:color w:val="000000"/>
        </w:rPr>
        <w:t xml:space="preserve"> are all bad at projecting magnitude and spatial distribution of precipitation change. I don't think it is right to say that GCMs can't predict precipitation, just that the precipitation they predict is inconsistent between models...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4C0204" w15:done="0"/>
  <w15:commentEx w15:paraId="13F61C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4C0204" w16cid:durableId="23BACCF7"/>
  <w16cid:commentId w16cid:paraId="13F61C83" w16cid:durableId="23BACC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A268C" w14:textId="77777777" w:rsidR="003A5537" w:rsidRDefault="003A5537">
      <w:r>
        <w:separator/>
      </w:r>
    </w:p>
  </w:endnote>
  <w:endnote w:type="continuationSeparator" w:id="0">
    <w:p w14:paraId="72C0057A" w14:textId="77777777" w:rsidR="003A5537" w:rsidRDefault="003A5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17DAC" w14:textId="77777777" w:rsidR="0055039A" w:rsidRDefault="0055039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B7EDB" w14:textId="77777777" w:rsidR="003A5537" w:rsidRDefault="003A5537">
      <w:r>
        <w:separator/>
      </w:r>
    </w:p>
  </w:footnote>
  <w:footnote w:type="continuationSeparator" w:id="0">
    <w:p w14:paraId="173399F3" w14:textId="77777777" w:rsidR="003A5537" w:rsidRDefault="003A55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E1C36" w14:textId="77777777" w:rsidR="0055039A" w:rsidRDefault="0055039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411B1" w14:textId="77777777" w:rsidR="0055039A" w:rsidRDefault="003A5537">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Confidential manuscript submitted to </w:t>
    </w:r>
    <w:r>
      <w:rPr>
        <w:rFonts w:ascii="Times New Roman" w:eastAsia="Times New Roman" w:hAnsi="Times New Roman" w:cs="Times New Roman"/>
        <w:i/>
        <w:color w:val="000000"/>
        <w:sz w:val="20"/>
        <w:szCs w:val="20"/>
      </w:rPr>
      <w:t>replace this text with name of AGU journal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39A"/>
    <w:rsid w:val="003A5537"/>
    <w:rsid w:val="00512407"/>
    <w:rsid w:val="0055039A"/>
    <w:rsid w:val="00743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E017E"/>
  <w15:docId w15:val="{661599CF-0CC4-7E4F-8366-7FA7609E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w:eastAsia="Palatino" w:hAnsi="Palatino" w:cs="Palatino"/>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1240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240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esgf-node.llnl.gov/search/cmip5/"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james.farquharson@rsmas.miami.edu"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yperlink" Target="https://doi.org/10.5479/si.GVP.VOTW4-2013" TargetMode="Externa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6385</Words>
  <Characters>36397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Farquharson</cp:lastModifiedBy>
  <cp:revision>2</cp:revision>
  <dcterms:created xsi:type="dcterms:W3CDTF">2021-01-26T22:16:00Z</dcterms:created>
  <dcterms:modified xsi:type="dcterms:W3CDTF">2021-01-26T23:08:00Z</dcterms:modified>
</cp:coreProperties>
</file>