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1A — Phase 4: Data Layer</w:t>
      </w:r>
    </w:p>
    <w:p>
      <w:pPr>
        <w:jc w:val="center"/>
      </w:pPr>
      <w:r>
        <w:rPr>
          <w:i/>
          <w:sz w:val="22"/>
        </w:rPr>
        <w:t>Group A — Data Requirements, Dataset Classification, Source Mapping and Availability</w:t>
      </w:r>
    </w:p>
    <w:p>
      <w:pPr>
        <w:pStyle w:val="Heading1"/>
      </w:pPr>
      <w:r>
        <w:t>1. Purpose</w:t>
      </w:r>
    </w:p>
    <w:p>
      <w:r>
        <w:t>Group A defines the data foundation for the Bayesian Regime Detection Engine for Equity Direction Forecasting. The objective is to determine what information is required to identify market regimes, classify each dataset by importance, map datasets to reliable sources, and verify that the required historical data is available for the MVP.</w:t>
      </w:r>
    </w:p>
    <w:p>
      <w:pPr>
        <w:pStyle w:val="Heading1"/>
      </w:pPr>
      <w:r>
        <w:t>2. Group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tcPr>
          <w:p>
            <w:r>
              <w:rPr>
                <w:b/>
              </w:rPr>
              <w:t>Sub-phase</w:t>
            </w:r>
          </w:p>
        </w:tc>
        <w:tc>
          <w:tcPr>
            <w:tcW w:type="dxa" w:w="3408"/>
            <w:shd w:fill="D9EAD3"/>
          </w:tcPr>
          <w:p>
            <w:r>
              <w:rPr>
                <w:b/>
              </w:rPr>
              <w:t>Focus</w:t>
            </w:r>
          </w:p>
        </w:tc>
        <w:tc>
          <w:tcPr>
            <w:tcW w:type="dxa" w:w="3408"/>
            <w:shd w:fill="D9EAD3"/>
          </w:tcPr>
          <w:p>
            <w:r>
              <w:rPr>
                <w:b/>
              </w:rPr>
              <w:t>Primary Deliverable</w:t>
            </w:r>
          </w:p>
        </w:tc>
      </w:tr>
      <w:tr>
        <w:tc>
          <w:tcPr>
            <w:tcW w:type="dxa" w:w="3408"/>
            <w:vAlign w:val="center"/>
          </w:tcPr>
          <w:p>
            <w:r>
              <w:t>4.1</w:t>
            </w:r>
          </w:p>
        </w:tc>
        <w:tc>
          <w:tcPr>
            <w:tcW w:type="dxa" w:w="3408"/>
            <w:vAlign w:val="center"/>
          </w:tcPr>
          <w:p>
            <w:r>
              <w:t>Data Requirements</w:t>
            </w:r>
          </w:p>
        </w:tc>
        <w:tc>
          <w:tcPr>
            <w:tcW w:type="dxa" w:w="3408"/>
            <w:vAlign w:val="center"/>
          </w:tcPr>
          <w:p>
            <w:r>
              <w:t>Data requirements matrix</w:t>
            </w:r>
          </w:p>
        </w:tc>
      </w:tr>
      <w:tr>
        <w:tc>
          <w:tcPr>
            <w:tcW w:type="dxa" w:w="3408"/>
            <w:vAlign w:val="center"/>
          </w:tcPr>
          <w:p>
            <w:r>
              <w:t>4.2</w:t>
            </w:r>
          </w:p>
        </w:tc>
        <w:tc>
          <w:tcPr>
            <w:tcW w:type="dxa" w:w="3408"/>
            <w:vAlign w:val="center"/>
          </w:tcPr>
          <w:p>
            <w:r>
              <w:t>Dataset Classification</w:t>
            </w:r>
          </w:p>
        </w:tc>
        <w:tc>
          <w:tcPr>
            <w:tcW w:type="dxa" w:w="3408"/>
            <w:vAlign w:val="center"/>
          </w:tcPr>
          <w:p>
            <w:r>
              <w:t>Dataset registry</w:t>
            </w:r>
          </w:p>
        </w:tc>
      </w:tr>
      <w:tr>
        <w:tc>
          <w:tcPr>
            <w:tcW w:type="dxa" w:w="3408"/>
            <w:vAlign w:val="center"/>
          </w:tcPr>
          <w:p>
            <w:r>
              <w:t>4.3</w:t>
            </w:r>
          </w:p>
        </w:tc>
        <w:tc>
          <w:tcPr>
            <w:tcW w:type="dxa" w:w="3408"/>
            <w:vAlign w:val="center"/>
          </w:tcPr>
          <w:p>
            <w:r>
              <w:t>Data Source Mapping</w:t>
            </w:r>
          </w:p>
        </w:tc>
        <w:tc>
          <w:tcPr>
            <w:tcW w:type="dxa" w:w="3408"/>
            <w:vAlign w:val="center"/>
          </w:tcPr>
          <w:p>
            <w:r>
              <w:t>Data source registry</w:t>
            </w:r>
          </w:p>
        </w:tc>
      </w:tr>
      <w:tr>
        <w:tc>
          <w:tcPr>
            <w:tcW w:type="dxa" w:w="3408"/>
            <w:vAlign w:val="center"/>
          </w:tcPr>
          <w:p>
            <w:r>
              <w:t>4.4</w:t>
            </w:r>
          </w:p>
        </w:tc>
        <w:tc>
          <w:tcPr>
            <w:tcW w:type="dxa" w:w="3408"/>
            <w:vAlign w:val="center"/>
          </w:tcPr>
          <w:p>
            <w:r>
              <w:t>Data Availability</w:t>
            </w:r>
          </w:p>
        </w:tc>
        <w:tc>
          <w:tcPr>
            <w:tcW w:type="dxa" w:w="3408"/>
            <w:vAlign w:val="center"/>
          </w:tcPr>
          <w:p>
            <w:r>
              <w:t>Availability assessment</w:t>
            </w:r>
          </w:p>
        </w:tc>
      </w:tr>
    </w:tbl>
    <w:p/>
    <w:p>
      <w:pPr>
        <w:pStyle w:val="Heading1"/>
      </w:pPr>
      <w:r>
        <w:t>3. Data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D3"/>
          </w:tcPr>
          <w:p>
            <w:r>
              <w:rPr>
                <w:b/>
              </w:rPr>
              <w:t>Information Need</w:t>
            </w:r>
          </w:p>
        </w:tc>
        <w:tc>
          <w:tcPr>
            <w:tcW w:type="dxa" w:w="1704"/>
            <w:shd w:fill="D9EAD3"/>
          </w:tcPr>
          <w:p>
            <w:r>
              <w:rPr>
                <w:b/>
              </w:rPr>
              <w:t>Dataset / Signal</w:t>
            </w:r>
          </w:p>
        </w:tc>
        <w:tc>
          <w:tcPr>
            <w:tcW w:type="dxa" w:w="1704"/>
            <w:shd w:fill="D9EAD3"/>
          </w:tcPr>
          <w:p>
            <w:r>
              <w:rPr>
                <w:b/>
              </w:rPr>
              <w:t>Key Variables</w:t>
            </w:r>
          </w:p>
        </w:tc>
        <w:tc>
          <w:tcPr>
            <w:tcW w:type="dxa" w:w="1704"/>
            <w:shd w:fill="D9EAD3"/>
          </w:tcPr>
          <w:p>
            <w:r>
              <w:rPr>
                <w:b/>
              </w:rPr>
              <w:t>Frequency</w:t>
            </w:r>
          </w:p>
        </w:tc>
        <w:tc>
          <w:tcPr>
            <w:tcW w:type="dxa" w:w="1704"/>
            <w:shd w:fill="D9EAD3"/>
          </w:tcPr>
          <w:p>
            <w:r>
              <w:rPr>
                <w:b/>
              </w:rPr>
              <w:t>Purpose</w:t>
            </w:r>
          </w:p>
        </w:tc>
        <w:tc>
          <w:tcPr>
            <w:tcW w:type="dxa" w:w="1704"/>
            <w:shd w:fill="D9EAD3"/>
          </w:tcPr>
          <w:p>
            <w:r>
              <w:rPr>
                <w:b/>
              </w:rPr>
              <w:t>Priority</w:t>
            </w:r>
          </w:p>
        </w:tc>
      </w:tr>
      <w:tr>
        <w:tc>
          <w:tcPr>
            <w:tcW w:type="dxa" w:w="1704"/>
            <w:vAlign w:val="center"/>
          </w:tcPr>
          <w:p>
            <w:r>
              <w:t>Market direction</w:t>
            </w:r>
          </w:p>
        </w:tc>
        <w:tc>
          <w:tcPr>
            <w:tcW w:type="dxa" w:w="1704"/>
            <w:vAlign w:val="center"/>
          </w:tcPr>
          <w:p>
            <w:r>
              <w:t>NIFTY 50</w:t>
            </w:r>
          </w:p>
        </w:tc>
        <w:tc>
          <w:tcPr>
            <w:tcW w:type="dxa" w:w="1704"/>
            <w:vAlign w:val="center"/>
          </w:tcPr>
          <w:p>
            <w:r>
              <w:t>OHLC, returns</w:t>
            </w:r>
          </w:p>
        </w:tc>
        <w:tc>
          <w:tcPr>
            <w:tcW w:type="dxa" w:w="1704"/>
            <w:vAlign w:val="center"/>
          </w:tcPr>
          <w:p>
            <w:r>
              <w:t>Daily</w:t>
            </w:r>
          </w:p>
        </w:tc>
        <w:tc>
          <w:tcPr>
            <w:tcW w:type="dxa" w:w="1704"/>
            <w:vAlign w:val="center"/>
          </w:tcPr>
          <w:p>
            <w:r>
              <w:t>Captures trend and market movement</w:t>
            </w:r>
          </w:p>
        </w:tc>
        <w:tc>
          <w:tcPr>
            <w:tcW w:type="dxa" w:w="1704"/>
            <w:vAlign w:val="center"/>
          </w:tcPr>
          <w:p>
            <w:r>
              <w:t>Core</w:t>
            </w:r>
          </w:p>
        </w:tc>
      </w:tr>
      <w:tr>
        <w:tc>
          <w:tcPr>
            <w:tcW w:type="dxa" w:w="1704"/>
            <w:vAlign w:val="center"/>
          </w:tcPr>
          <w:p>
            <w:r>
              <w:t>Market risk</w:t>
            </w:r>
          </w:p>
        </w:tc>
        <w:tc>
          <w:tcPr>
            <w:tcW w:type="dxa" w:w="1704"/>
            <w:vAlign w:val="center"/>
          </w:tcPr>
          <w:p>
            <w:r>
              <w:t>India VIX</w:t>
            </w:r>
          </w:p>
        </w:tc>
        <w:tc>
          <w:tcPr>
            <w:tcW w:type="dxa" w:w="1704"/>
            <w:vAlign w:val="center"/>
          </w:tcPr>
          <w:p>
            <w:r>
              <w:t>Level, change, returns</w:t>
            </w:r>
          </w:p>
        </w:tc>
        <w:tc>
          <w:tcPr>
            <w:tcW w:type="dxa" w:w="1704"/>
            <w:vAlign w:val="center"/>
          </w:tcPr>
          <w:p>
            <w:r>
              <w:t>Daily</w:t>
            </w:r>
          </w:p>
        </w:tc>
        <w:tc>
          <w:tcPr>
            <w:tcW w:type="dxa" w:w="1704"/>
            <w:vAlign w:val="center"/>
          </w:tcPr>
          <w:p>
            <w:r>
              <w:t>Captures expected market volatility</w:t>
            </w:r>
          </w:p>
        </w:tc>
        <w:tc>
          <w:tcPr>
            <w:tcW w:type="dxa" w:w="1704"/>
            <w:vAlign w:val="center"/>
          </w:tcPr>
          <w:p>
            <w:r>
              <w:t>Core</w:t>
            </w:r>
          </w:p>
        </w:tc>
      </w:tr>
      <w:tr>
        <w:tc>
          <w:tcPr>
            <w:tcW w:type="dxa" w:w="1704"/>
            <w:vAlign w:val="center"/>
          </w:tcPr>
          <w:p>
            <w:r>
              <w:t>Market participation</w:t>
            </w:r>
          </w:p>
        </w:tc>
        <w:tc>
          <w:tcPr>
            <w:tcW w:type="dxa" w:w="1704"/>
            <w:vAlign w:val="center"/>
          </w:tcPr>
          <w:p>
            <w:r>
              <w:t>NIFTY constituent/breadth data</w:t>
            </w:r>
          </w:p>
        </w:tc>
        <w:tc>
          <w:tcPr>
            <w:tcW w:type="dxa" w:w="1704"/>
            <w:vAlign w:val="center"/>
          </w:tcPr>
          <w:p>
            <w:r>
              <w:t>Advances, declines, breadth proxies</w:t>
            </w:r>
          </w:p>
        </w:tc>
        <w:tc>
          <w:tcPr>
            <w:tcW w:type="dxa" w:w="1704"/>
            <w:vAlign w:val="center"/>
          </w:tcPr>
          <w:p>
            <w:r>
              <w:t>Daily</w:t>
            </w:r>
          </w:p>
        </w:tc>
        <w:tc>
          <w:tcPr>
            <w:tcW w:type="dxa" w:w="1704"/>
            <w:vAlign w:val="center"/>
          </w:tcPr>
          <w:p>
            <w:r>
              <w:t>Measures participation behind market moves</w:t>
            </w:r>
          </w:p>
        </w:tc>
        <w:tc>
          <w:tcPr>
            <w:tcW w:type="dxa" w:w="1704"/>
            <w:vAlign w:val="center"/>
          </w:tcPr>
          <w:p>
            <w:r>
              <w:t>Supporting</w:t>
            </w:r>
          </w:p>
        </w:tc>
      </w:tr>
      <w:tr>
        <w:tc>
          <w:tcPr>
            <w:tcW w:type="dxa" w:w="1704"/>
            <w:vAlign w:val="center"/>
          </w:tcPr>
          <w:p>
            <w:r>
              <w:t>Monetary conditions</w:t>
            </w:r>
          </w:p>
        </w:tc>
        <w:tc>
          <w:tcPr>
            <w:tcW w:type="dxa" w:w="1704"/>
            <w:vAlign w:val="center"/>
          </w:tcPr>
          <w:p>
            <w:r>
              <w:t>Policy/repo rate</w:t>
            </w:r>
          </w:p>
        </w:tc>
        <w:tc>
          <w:tcPr>
            <w:tcW w:type="dxa" w:w="1704"/>
            <w:vAlign w:val="center"/>
          </w:tcPr>
          <w:p>
            <w:r>
              <w:t>Rate, change date</w:t>
            </w:r>
          </w:p>
        </w:tc>
        <w:tc>
          <w:tcPr>
            <w:tcW w:type="dxa" w:w="1704"/>
            <w:vAlign w:val="center"/>
          </w:tcPr>
          <w:p>
            <w:r>
              <w:t>Event-based</w:t>
            </w:r>
          </w:p>
        </w:tc>
        <w:tc>
          <w:tcPr>
            <w:tcW w:type="dxa" w:w="1704"/>
            <w:vAlign w:val="center"/>
          </w:tcPr>
          <w:p>
            <w:r>
              <w:t>Represents monetary policy regime</w:t>
            </w:r>
          </w:p>
        </w:tc>
        <w:tc>
          <w:tcPr>
            <w:tcW w:type="dxa" w:w="1704"/>
            <w:vAlign w:val="center"/>
          </w:tcPr>
          <w:p>
            <w:r>
              <w:t>Supporting</w:t>
            </w:r>
          </w:p>
        </w:tc>
      </w:tr>
      <w:tr>
        <w:tc>
          <w:tcPr>
            <w:tcW w:type="dxa" w:w="1704"/>
            <w:vAlign w:val="center"/>
          </w:tcPr>
          <w:p>
            <w:r>
              <w:t>Inflation pressure</w:t>
            </w:r>
          </w:p>
        </w:tc>
        <w:tc>
          <w:tcPr>
            <w:tcW w:type="dxa" w:w="1704"/>
            <w:vAlign w:val="center"/>
          </w:tcPr>
          <w:p>
            <w:r>
              <w:t>CPI</w:t>
            </w:r>
          </w:p>
        </w:tc>
        <w:tc>
          <w:tcPr>
            <w:tcW w:type="dxa" w:w="1704"/>
            <w:vAlign w:val="center"/>
          </w:tcPr>
          <w:p>
            <w:r>
              <w:t>Index, inflation rate</w:t>
            </w:r>
          </w:p>
        </w:tc>
        <w:tc>
          <w:tcPr>
            <w:tcW w:type="dxa" w:w="1704"/>
            <w:vAlign w:val="center"/>
          </w:tcPr>
          <w:p>
            <w:r>
              <w:t>Monthly</w:t>
            </w:r>
          </w:p>
        </w:tc>
        <w:tc>
          <w:tcPr>
            <w:tcW w:type="dxa" w:w="1704"/>
            <w:vAlign w:val="center"/>
          </w:tcPr>
          <w:p>
            <w:r>
              <w:t>Captures macroeconomic pressure</w:t>
            </w:r>
          </w:p>
        </w:tc>
        <w:tc>
          <w:tcPr>
            <w:tcW w:type="dxa" w:w="1704"/>
            <w:vAlign w:val="center"/>
          </w:tcPr>
          <w:p>
            <w:r>
              <w:t>Supporting</w:t>
            </w:r>
          </w:p>
        </w:tc>
      </w:tr>
      <w:tr>
        <w:tc>
          <w:tcPr>
            <w:tcW w:type="dxa" w:w="1704"/>
            <w:vAlign w:val="center"/>
          </w:tcPr>
          <w:p>
            <w:r>
              <w:t>External pressure</w:t>
            </w:r>
          </w:p>
        </w:tc>
        <w:tc>
          <w:tcPr>
            <w:tcW w:type="dxa" w:w="1704"/>
            <w:vAlign w:val="center"/>
          </w:tcPr>
          <w:p>
            <w:r>
              <w:t>USD/INR</w:t>
            </w:r>
          </w:p>
        </w:tc>
        <w:tc>
          <w:tcPr>
            <w:tcW w:type="dxa" w:w="1704"/>
            <w:vAlign w:val="center"/>
          </w:tcPr>
          <w:p>
            <w:r>
              <w:t>Rate, returns</w:t>
            </w:r>
          </w:p>
        </w:tc>
        <w:tc>
          <w:tcPr>
            <w:tcW w:type="dxa" w:w="1704"/>
            <w:vAlign w:val="center"/>
          </w:tcPr>
          <w:p>
            <w:r>
              <w:t>Daily</w:t>
            </w:r>
          </w:p>
        </w:tc>
        <w:tc>
          <w:tcPr>
            <w:tcW w:type="dxa" w:w="1704"/>
            <w:vAlign w:val="center"/>
          </w:tcPr>
          <w:p>
            <w:r>
              <w:t>Captures currency stress and external risk</w:t>
            </w:r>
          </w:p>
        </w:tc>
        <w:tc>
          <w:tcPr>
            <w:tcW w:type="dxa" w:w="1704"/>
            <w:vAlign w:val="center"/>
          </w:tcPr>
          <w:p>
            <w:r>
              <w:t>Supporting</w:t>
            </w:r>
          </w:p>
        </w:tc>
      </w:tr>
      <w:tr>
        <w:tc>
          <w:tcPr>
            <w:tcW w:type="dxa" w:w="1704"/>
            <w:vAlign w:val="center"/>
          </w:tcPr>
          <w:p>
            <w:r>
              <w:t>Global risk</w:t>
            </w:r>
          </w:p>
        </w:tc>
        <w:tc>
          <w:tcPr>
            <w:tcW w:type="dxa" w:w="1704"/>
            <w:vAlign w:val="center"/>
          </w:tcPr>
          <w:p>
            <w:r>
              <w:t>S&amp;P 500</w:t>
            </w:r>
          </w:p>
        </w:tc>
        <w:tc>
          <w:tcPr>
            <w:tcW w:type="dxa" w:w="1704"/>
            <w:vAlign w:val="center"/>
          </w:tcPr>
          <w:p>
            <w:r>
              <w:t>Close, returns</w:t>
            </w:r>
          </w:p>
        </w:tc>
        <w:tc>
          <w:tcPr>
            <w:tcW w:type="dxa" w:w="1704"/>
            <w:vAlign w:val="center"/>
          </w:tcPr>
          <w:p>
            <w:r>
              <w:t>Daily</w:t>
            </w:r>
          </w:p>
        </w:tc>
        <w:tc>
          <w:tcPr>
            <w:tcW w:type="dxa" w:w="1704"/>
            <w:vAlign w:val="center"/>
          </w:tcPr>
          <w:p>
            <w:r>
              <w:t>Represents global equity risk sentiment</w:t>
            </w:r>
          </w:p>
        </w:tc>
        <w:tc>
          <w:tcPr>
            <w:tcW w:type="dxa" w:w="1704"/>
            <w:vAlign w:val="center"/>
          </w:tcPr>
          <w:p>
            <w:r>
              <w:t>Supporting</w:t>
            </w:r>
          </w:p>
        </w:tc>
      </w:tr>
      <w:tr>
        <w:tc>
          <w:tcPr>
            <w:tcW w:type="dxa" w:w="1704"/>
            <w:vAlign w:val="center"/>
          </w:tcPr>
          <w:p>
            <w:r>
              <w:t>Global volatility</w:t>
            </w:r>
          </w:p>
        </w:tc>
        <w:tc>
          <w:tcPr>
            <w:tcW w:type="dxa" w:w="1704"/>
            <w:vAlign w:val="center"/>
          </w:tcPr>
          <w:p>
            <w:r>
              <w:t>CBOE VIX</w:t>
            </w:r>
          </w:p>
        </w:tc>
        <w:tc>
          <w:tcPr>
            <w:tcW w:type="dxa" w:w="1704"/>
            <w:vAlign w:val="center"/>
          </w:tcPr>
          <w:p>
            <w:r>
              <w:t>Level, change</w:t>
            </w:r>
          </w:p>
        </w:tc>
        <w:tc>
          <w:tcPr>
            <w:tcW w:type="dxa" w:w="1704"/>
            <w:vAlign w:val="center"/>
          </w:tcPr>
          <w:p>
            <w:r>
              <w:t>Daily</w:t>
            </w:r>
          </w:p>
        </w:tc>
        <w:tc>
          <w:tcPr>
            <w:tcW w:type="dxa" w:w="1704"/>
            <w:vAlign w:val="center"/>
          </w:tcPr>
          <w:p>
            <w:r>
              <w:t>Represents global risk aversion</w:t>
            </w:r>
          </w:p>
        </w:tc>
        <w:tc>
          <w:tcPr>
            <w:tcW w:type="dxa" w:w="1704"/>
            <w:vAlign w:val="center"/>
          </w:tcPr>
          <w:p>
            <w:r>
              <w:t>Supporting</w:t>
            </w:r>
          </w:p>
        </w:tc>
      </w:tr>
      <w:tr>
        <w:tc>
          <w:tcPr>
            <w:tcW w:type="dxa" w:w="1704"/>
            <w:vAlign w:val="center"/>
          </w:tcPr>
          <w:p>
            <w:r>
              <w:t>Commodity shock</w:t>
            </w:r>
          </w:p>
        </w:tc>
        <w:tc>
          <w:tcPr>
            <w:tcW w:type="dxa" w:w="1704"/>
            <w:vAlign w:val="center"/>
          </w:tcPr>
          <w:p>
            <w:r>
              <w:t>Crude oil</w:t>
            </w:r>
          </w:p>
        </w:tc>
        <w:tc>
          <w:tcPr>
            <w:tcW w:type="dxa" w:w="1704"/>
            <w:vAlign w:val="center"/>
          </w:tcPr>
          <w:p>
            <w:r>
              <w:t>Price, returns</w:t>
            </w:r>
          </w:p>
        </w:tc>
        <w:tc>
          <w:tcPr>
            <w:tcW w:type="dxa" w:w="1704"/>
            <w:vAlign w:val="center"/>
          </w:tcPr>
          <w:p>
            <w:r>
              <w:t>Daily</w:t>
            </w:r>
          </w:p>
        </w:tc>
        <w:tc>
          <w:tcPr>
            <w:tcW w:type="dxa" w:w="1704"/>
            <w:vAlign w:val="center"/>
          </w:tcPr>
          <w:p>
            <w:r>
              <w:t>Captures energy and macro shock pressure</w:t>
            </w:r>
          </w:p>
        </w:tc>
        <w:tc>
          <w:tcPr>
            <w:tcW w:type="dxa" w:w="1704"/>
            <w:vAlign w:val="center"/>
          </w:tcPr>
          <w:p>
            <w:r>
              <w:t>Supporting</w:t>
            </w:r>
          </w:p>
        </w:tc>
      </w:tr>
    </w:tbl>
    <w:p/>
    <w:p>
      <w:pPr>
        <w:pStyle w:val="Heading1"/>
      </w:pPr>
      <w:r>
        <w:t>4. Dataset Classification</w:t>
      </w:r>
    </w:p>
    <w:p>
      <w:r>
        <w:t>Datasets are classified to control project scope. Core datasets are required for the MVP, supporting datasets provide additional regime context, and optional datasets are reserved for later experimentation.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tcPr>
          <w:p>
            <w:r>
              <w:rPr>
                <w:b/>
              </w:rPr>
              <w:t>Dataset</w:t>
            </w:r>
          </w:p>
        </w:tc>
        <w:tc>
          <w:tcPr>
            <w:tcW w:type="dxa" w:w="2556"/>
            <w:shd w:fill="D9EAD3"/>
          </w:tcPr>
          <w:p>
            <w:r>
              <w:rPr>
                <w:b/>
              </w:rPr>
              <w:t>Classification</w:t>
            </w:r>
          </w:p>
        </w:tc>
        <w:tc>
          <w:tcPr>
            <w:tcW w:type="dxa" w:w="2556"/>
            <w:shd w:fill="D9EAD3"/>
          </w:tcPr>
          <w:p>
            <w:r>
              <w:rPr>
                <w:b/>
              </w:rPr>
              <w:t>MVP Decision</w:t>
            </w:r>
          </w:p>
        </w:tc>
        <w:tc>
          <w:tcPr>
            <w:tcW w:type="dxa" w:w="2556"/>
            <w:shd w:fill="D9EAD3"/>
          </w:tcPr>
          <w:p>
            <w:r>
              <w:rPr>
                <w:b/>
              </w:rPr>
              <w:t>Reason</w:t>
            </w:r>
          </w:p>
        </w:tc>
      </w:tr>
      <w:tr>
        <w:tc>
          <w:tcPr>
            <w:tcW w:type="dxa" w:w="2556"/>
            <w:vAlign w:val="center"/>
          </w:tcPr>
          <w:p>
            <w:r>
              <w:t>NIFTY 50</w:t>
            </w:r>
          </w:p>
        </w:tc>
        <w:tc>
          <w:tcPr>
            <w:tcW w:type="dxa" w:w="2556"/>
            <w:vAlign w:val="center"/>
          </w:tcPr>
          <w:p>
            <w:r>
              <w:t>Core</w:t>
            </w:r>
          </w:p>
        </w:tc>
        <w:tc>
          <w:tcPr>
            <w:tcW w:type="dxa" w:w="2556"/>
            <w:vAlign w:val="center"/>
          </w:tcPr>
          <w:p>
            <w:r>
              <w:t>Include</w:t>
            </w:r>
          </w:p>
        </w:tc>
        <w:tc>
          <w:tcPr>
            <w:tcW w:type="dxa" w:w="2556"/>
            <w:vAlign w:val="center"/>
          </w:tcPr>
          <w:p>
            <w:r>
              <w:t>Primary representation of Indian equity market direction</w:t>
            </w:r>
          </w:p>
        </w:tc>
      </w:tr>
      <w:tr>
        <w:tc>
          <w:tcPr>
            <w:tcW w:type="dxa" w:w="2556"/>
            <w:vAlign w:val="center"/>
          </w:tcPr>
          <w:p>
            <w:r>
              <w:t>India VIX</w:t>
            </w:r>
          </w:p>
        </w:tc>
        <w:tc>
          <w:tcPr>
            <w:tcW w:type="dxa" w:w="2556"/>
            <w:vAlign w:val="center"/>
          </w:tcPr>
          <w:p>
            <w:r>
              <w:t>Core</w:t>
            </w:r>
          </w:p>
        </w:tc>
        <w:tc>
          <w:tcPr>
            <w:tcW w:type="dxa" w:w="2556"/>
            <w:vAlign w:val="center"/>
          </w:tcPr>
          <w:p>
            <w:r>
              <w:t>Include</w:t>
            </w:r>
          </w:p>
        </w:tc>
        <w:tc>
          <w:tcPr>
            <w:tcW w:type="dxa" w:w="2556"/>
            <w:vAlign w:val="center"/>
          </w:tcPr>
          <w:p>
            <w:r>
              <w:t>Direct measure of expected domestic market volatility</w:t>
            </w:r>
          </w:p>
        </w:tc>
      </w:tr>
      <w:tr>
        <w:tc>
          <w:tcPr>
            <w:tcW w:type="dxa" w:w="2556"/>
            <w:vAlign w:val="center"/>
          </w:tcPr>
          <w:p>
            <w:r>
              <w:t>Market breadth</w:t>
            </w:r>
          </w:p>
        </w:tc>
        <w:tc>
          <w:tcPr>
            <w:tcW w:type="dxa" w:w="2556"/>
            <w:vAlign w:val="center"/>
          </w:tcPr>
          <w:p>
            <w:r>
              <w:t>Supporting</w:t>
            </w:r>
          </w:p>
        </w:tc>
        <w:tc>
          <w:tcPr>
            <w:tcW w:type="dxa" w:w="2556"/>
            <w:vAlign w:val="center"/>
          </w:tcPr>
          <w:p>
            <w:r>
              <w:t>Include if accessible</w:t>
            </w:r>
          </w:p>
        </w:tc>
        <w:tc>
          <w:tcPr>
            <w:tcW w:type="dxa" w:w="2556"/>
            <w:vAlign w:val="center"/>
          </w:tcPr>
          <w:p>
            <w:r>
              <w:t>Adds participation information</w:t>
            </w:r>
          </w:p>
        </w:tc>
      </w:tr>
      <w:tr>
        <w:tc>
          <w:tcPr>
            <w:tcW w:type="dxa" w:w="2556"/>
            <w:vAlign w:val="center"/>
          </w:tcPr>
          <w:p>
            <w:r>
              <w:t>Repo rate</w:t>
            </w:r>
          </w:p>
        </w:tc>
        <w:tc>
          <w:tcPr>
            <w:tcW w:type="dxa" w:w="2556"/>
            <w:vAlign w:val="center"/>
          </w:tcPr>
          <w:p>
            <w:r>
              <w:t>Supporting</w:t>
            </w:r>
          </w:p>
        </w:tc>
        <w:tc>
          <w:tcPr>
            <w:tcW w:type="dxa" w:w="2556"/>
            <w:vAlign w:val="center"/>
          </w:tcPr>
          <w:p>
            <w:r>
              <w:t>Include</w:t>
            </w:r>
          </w:p>
        </w:tc>
        <w:tc>
          <w:tcPr>
            <w:tcW w:type="dxa" w:w="2556"/>
            <w:vAlign w:val="center"/>
          </w:tcPr>
          <w:p>
            <w:r>
              <w:t>Represents monetary policy changes</w:t>
            </w:r>
          </w:p>
        </w:tc>
      </w:tr>
      <w:tr>
        <w:tc>
          <w:tcPr>
            <w:tcW w:type="dxa" w:w="2556"/>
            <w:vAlign w:val="center"/>
          </w:tcPr>
          <w:p>
            <w:r>
              <w:t>CPI</w:t>
            </w:r>
          </w:p>
        </w:tc>
        <w:tc>
          <w:tcPr>
            <w:tcW w:type="dxa" w:w="2556"/>
            <w:vAlign w:val="center"/>
          </w:tcPr>
          <w:p>
            <w:r>
              <w:t>Supporting</w:t>
            </w:r>
          </w:p>
        </w:tc>
        <w:tc>
          <w:tcPr>
            <w:tcW w:type="dxa" w:w="2556"/>
            <w:vAlign w:val="center"/>
          </w:tcPr>
          <w:p>
            <w:r>
              <w:t>Include</w:t>
            </w:r>
          </w:p>
        </w:tc>
        <w:tc>
          <w:tcPr>
            <w:tcW w:type="dxa" w:w="2556"/>
            <w:vAlign w:val="center"/>
          </w:tcPr>
          <w:p>
            <w:r>
              <w:t>Represents inflation regime</w:t>
            </w:r>
          </w:p>
        </w:tc>
      </w:tr>
      <w:tr>
        <w:tc>
          <w:tcPr>
            <w:tcW w:type="dxa" w:w="2556"/>
            <w:vAlign w:val="center"/>
          </w:tcPr>
          <w:p>
            <w:r>
              <w:t>USD/INR</w:t>
            </w:r>
          </w:p>
        </w:tc>
        <w:tc>
          <w:tcPr>
            <w:tcW w:type="dxa" w:w="2556"/>
            <w:vAlign w:val="center"/>
          </w:tcPr>
          <w:p>
            <w:r>
              <w:t>Supporting</w:t>
            </w:r>
          </w:p>
        </w:tc>
        <w:tc>
          <w:tcPr>
            <w:tcW w:type="dxa" w:w="2556"/>
            <w:vAlign w:val="center"/>
          </w:tcPr>
          <w:p>
            <w:r>
              <w:t>Include</w:t>
            </w:r>
          </w:p>
        </w:tc>
        <w:tc>
          <w:tcPr>
            <w:tcW w:type="dxa" w:w="2556"/>
            <w:vAlign w:val="center"/>
          </w:tcPr>
          <w:p>
            <w:r>
              <w:t>Represents external/currency stress</w:t>
            </w:r>
          </w:p>
        </w:tc>
      </w:tr>
      <w:tr>
        <w:tc>
          <w:tcPr>
            <w:tcW w:type="dxa" w:w="2556"/>
            <w:vAlign w:val="center"/>
          </w:tcPr>
          <w:p>
            <w:r>
              <w:t>S&amp;P 500</w:t>
            </w:r>
          </w:p>
        </w:tc>
        <w:tc>
          <w:tcPr>
            <w:tcW w:type="dxa" w:w="2556"/>
            <w:vAlign w:val="center"/>
          </w:tcPr>
          <w:p>
            <w:r>
              <w:t>Supporting</w:t>
            </w:r>
          </w:p>
        </w:tc>
        <w:tc>
          <w:tcPr>
            <w:tcW w:type="dxa" w:w="2556"/>
            <w:vAlign w:val="center"/>
          </w:tcPr>
          <w:p>
            <w:r>
              <w:t>Include</w:t>
            </w:r>
          </w:p>
        </w:tc>
        <w:tc>
          <w:tcPr>
            <w:tcW w:type="dxa" w:w="2556"/>
            <w:vAlign w:val="center"/>
          </w:tcPr>
          <w:p>
            <w:r>
              <w:t>Captures global equity sentiment</w:t>
            </w:r>
          </w:p>
        </w:tc>
      </w:tr>
      <w:tr>
        <w:tc>
          <w:tcPr>
            <w:tcW w:type="dxa" w:w="2556"/>
            <w:vAlign w:val="center"/>
          </w:tcPr>
          <w:p>
            <w:r>
              <w:t>CBOE VIX</w:t>
            </w:r>
          </w:p>
        </w:tc>
        <w:tc>
          <w:tcPr>
            <w:tcW w:type="dxa" w:w="2556"/>
            <w:vAlign w:val="center"/>
          </w:tcPr>
          <w:p>
            <w:r>
              <w:t>Supporting</w:t>
            </w:r>
          </w:p>
        </w:tc>
        <w:tc>
          <w:tcPr>
            <w:tcW w:type="dxa" w:w="2556"/>
            <w:vAlign w:val="center"/>
          </w:tcPr>
          <w:p>
            <w:r>
              <w:t>Include</w:t>
            </w:r>
          </w:p>
        </w:tc>
        <w:tc>
          <w:tcPr>
            <w:tcW w:type="dxa" w:w="2556"/>
            <w:vAlign w:val="center"/>
          </w:tcPr>
          <w:p>
            <w:r>
              <w:t>Captures global volatility</w:t>
            </w:r>
          </w:p>
        </w:tc>
      </w:tr>
      <w:tr>
        <w:tc>
          <w:tcPr>
            <w:tcW w:type="dxa" w:w="2556"/>
            <w:vAlign w:val="center"/>
          </w:tcPr>
          <w:p>
            <w:r>
              <w:t>Crude oil</w:t>
            </w:r>
          </w:p>
        </w:tc>
        <w:tc>
          <w:tcPr>
            <w:tcW w:type="dxa" w:w="2556"/>
            <w:vAlign w:val="center"/>
          </w:tcPr>
          <w:p>
            <w:r>
              <w:t>Supporting</w:t>
            </w:r>
          </w:p>
        </w:tc>
        <w:tc>
          <w:tcPr>
            <w:tcW w:type="dxa" w:w="2556"/>
            <w:vAlign w:val="center"/>
          </w:tcPr>
          <w:p>
            <w:r>
              <w:t>Include</w:t>
            </w:r>
          </w:p>
        </w:tc>
        <w:tc>
          <w:tcPr>
            <w:tcW w:type="dxa" w:w="2556"/>
            <w:vAlign w:val="center"/>
          </w:tcPr>
          <w:p>
            <w:r>
              <w:t>Captures commodity and macro shock effects</w:t>
            </w:r>
          </w:p>
        </w:tc>
      </w:tr>
      <w:tr>
        <w:tc>
          <w:tcPr>
            <w:tcW w:type="dxa" w:w="2556"/>
            <w:vAlign w:val="center"/>
          </w:tcPr>
          <w:p>
            <w:r>
              <w:t>FII/DII flows, sector indices, gold, yield curve, news sentiment</w:t>
            </w:r>
          </w:p>
        </w:tc>
        <w:tc>
          <w:tcPr>
            <w:tcW w:type="dxa" w:w="2556"/>
            <w:vAlign w:val="center"/>
          </w:tcPr>
          <w:p>
            <w:r>
              <w:t>Optional</w:t>
            </w:r>
          </w:p>
        </w:tc>
        <w:tc>
          <w:tcPr>
            <w:tcW w:type="dxa" w:w="2556"/>
            <w:vAlign w:val="center"/>
          </w:tcPr>
          <w:p>
            <w:r>
              <w:t>Exclude from initial MVP unless low-cost</w:t>
            </w:r>
          </w:p>
        </w:tc>
        <w:tc>
          <w:tcPr>
            <w:tcW w:type="dxa" w:w="2556"/>
            <w:vAlign w:val="center"/>
          </w:tcPr>
          <w:p>
            <w:r>
              <w:t>Useful but not required for first working pipeline</w:t>
            </w:r>
          </w:p>
        </w:tc>
      </w:tr>
    </w:tbl>
    <w:p/>
    <w:p>
      <w:pPr>
        <w:pStyle w:val="Heading1"/>
      </w:pPr>
      <w:r>
        <w:t>5. Data Source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tcPr>
          <w:p>
            <w:r>
              <w:rPr>
                <w:b/>
              </w:rPr>
              <w:t>Dataset</w:t>
            </w:r>
          </w:p>
        </w:tc>
        <w:tc>
          <w:tcPr>
            <w:tcW w:type="dxa" w:w="2556"/>
            <w:shd w:fill="D9EAD3"/>
          </w:tcPr>
          <w:p>
            <w:r>
              <w:rPr>
                <w:b/>
              </w:rPr>
              <w:t>Authoritative / Preferred Source</w:t>
            </w:r>
          </w:p>
        </w:tc>
        <w:tc>
          <w:tcPr>
            <w:tcW w:type="dxa" w:w="2556"/>
            <w:shd w:fill="D9EAD3"/>
          </w:tcPr>
          <w:p>
            <w:r>
              <w:rPr>
                <w:b/>
              </w:rPr>
              <w:t>Implementation Access</w:t>
            </w:r>
          </w:p>
        </w:tc>
        <w:tc>
          <w:tcPr>
            <w:tcW w:type="dxa" w:w="2556"/>
            <w:shd w:fill="D9EAD3"/>
          </w:tcPr>
          <w:p>
            <w:r>
              <w:rPr>
                <w:b/>
              </w:rPr>
              <w:t>Expected Frequency</w:t>
            </w:r>
          </w:p>
        </w:tc>
      </w:tr>
      <w:tr>
        <w:tc>
          <w:tcPr>
            <w:tcW w:type="dxa" w:w="2556"/>
            <w:vAlign w:val="center"/>
          </w:tcPr>
          <w:p>
            <w:r>
              <w:t>NIFTY 50</w:t>
            </w:r>
          </w:p>
        </w:tc>
        <w:tc>
          <w:tcPr>
            <w:tcW w:type="dxa" w:w="2556"/>
            <w:vAlign w:val="center"/>
          </w:tcPr>
          <w:p>
            <w:r>
              <w:t>NSE</w:t>
            </w:r>
          </w:p>
        </w:tc>
        <w:tc>
          <w:tcPr>
            <w:tcW w:type="dxa" w:w="2556"/>
            <w:vAlign w:val="center"/>
          </w:tcPr>
          <w:p>
            <w:r>
              <w:t>Official download/API where practical; reliable provider fallback</w:t>
            </w:r>
          </w:p>
        </w:tc>
        <w:tc>
          <w:tcPr>
            <w:tcW w:type="dxa" w:w="2556"/>
            <w:vAlign w:val="center"/>
          </w:tcPr>
          <w:p>
            <w:r>
              <w:t>Daily</w:t>
            </w:r>
          </w:p>
        </w:tc>
      </w:tr>
      <w:tr>
        <w:tc>
          <w:tcPr>
            <w:tcW w:type="dxa" w:w="2556"/>
            <w:vAlign w:val="center"/>
          </w:tcPr>
          <w:p>
            <w:r>
              <w:t>India VIX</w:t>
            </w:r>
          </w:p>
        </w:tc>
        <w:tc>
          <w:tcPr>
            <w:tcW w:type="dxa" w:w="2556"/>
            <w:vAlign w:val="center"/>
          </w:tcPr>
          <w:p>
            <w:r>
              <w:t>NSE</w:t>
            </w:r>
          </w:p>
        </w:tc>
        <w:tc>
          <w:tcPr>
            <w:tcW w:type="dxa" w:w="2556"/>
            <w:vAlign w:val="center"/>
          </w:tcPr>
          <w:p>
            <w:r>
              <w:t>Official download/API where practical; reliable provider fallback</w:t>
            </w:r>
          </w:p>
        </w:tc>
        <w:tc>
          <w:tcPr>
            <w:tcW w:type="dxa" w:w="2556"/>
            <w:vAlign w:val="center"/>
          </w:tcPr>
          <w:p>
            <w:r>
              <w:t>Daily</w:t>
            </w:r>
          </w:p>
        </w:tc>
      </w:tr>
      <w:tr>
        <w:tc>
          <w:tcPr>
            <w:tcW w:type="dxa" w:w="2556"/>
            <w:vAlign w:val="center"/>
          </w:tcPr>
          <w:p>
            <w:r>
              <w:t>NIFTY breadth</w:t>
            </w:r>
          </w:p>
        </w:tc>
        <w:tc>
          <w:tcPr>
            <w:tcW w:type="dxa" w:w="2556"/>
            <w:vAlign w:val="center"/>
          </w:tcPr>
          <w:p>
            <w:r>
              <w:t>NSE</w:t>
            </w:r>
          </w:p>
        </w:tc>
        <w:tc>
          <w:tcPr>
            <w:tcW w:type="dxa" w:w="2556"/>
            <w:vAlign w:val="center"/>
          </w:tcPr>
          <w:p>
            <w:r>
              <w:t>Official constituent/market data where available</w:t>
            </w:r>
          </w:p>
        </w:tc>
        <w:tc>
          <w:tcPr>
            <w:tcW w:type="dxa" w:w="2556"/>
            <w:vAlign w:val="center"/>
          </w:tcPr>
          <w:p>
            <w:r>
              <w:t>Daily</w:t>
            </w:r>
          </w:p>
        </w:tc>
      </w:tr>
      <w:tr>
        <w:tc>
          <w:tcPr>
            <w:tcW w:type="dxa" w:w="2556"/>
            <w:vAlign w:val="center"/>
          </w:tcPr>
          <w:p>
            <w:r>
              <w:t>Repo rate</w:t>
            </w:r>
          </w:p>
        </w:tc>
        <w:tc>
          <w:tcPr>
            <w:tcW w:type="dxa" w:w="2556"/>
            <w:vAlign w:val="center"/>
          </w:tcPr>
          <w:p>
            <w:r>
              <w:t>RBI</w:t>
            </w:r>
          </w:p>
        </w:tc>
        <w:tc>
          <w:tcPr>
            <w:tcW w:type="dxa" w:w="2556"/>
            <w:vAlign w:val="center"/>
          </w:tcPr>
          <w:p>
            <w:r>
              <w:t>Official RBI publications/downloads</w:t>
            </w:r>
          </w:p>
        </w:tc>
        <w:tc>
          <w:tcPr>
            <w:tcW w:type="dxa" w:w="2556"/>
            <w:vAlign w:val="center"/>
          </w:tcPr>
          <w:p>
            <w:r>
              <w:t>Event-based</w:t>
            </w:r>
          </w:p>
        </w:tc>
      </w:tr>
      <w:tr>
        <w:tc>
          <w:tcPr>
            <w:tcW w:type="dxa" w:w="2556"/>
            <w:vAlign w:val="center"/>
          </w:tcPr>
          <w:p>
            <w:r>
              <w:t>CPI</w:t>
            </w:r>
          </w:p>
        </w:tc>
        <w:tc>
          <w:tcPr>
            <w:tcW w:type="dxa" w:w="2556"/>
            <w:vAlign w:val="center"/>
          </w:tcPr>
          <w:p>
            <w:r>
              <w:t>MOSPI / official releases</w:t>
            </w:r>
          </w:p>
        </w:tc>
        <w:tc>
          <w:tcPr>
            <w:tcW w:type="dxa" w:w="2556"/>
            <w:vAlign w:val="center"/>
          </w:tcPr>
          <w:p>
            <w:r>
              <w:t>Official publication/download; reproducible dataset source</w:t>
            </w:r>
          </w:p>
        </w:tc>
        <w:tc>
          <w:tcPr>
            <w:tcW w:type="dxa" w:w="2556"/>
            <w:vAlign w:val="center"/>
          </w:tcPr>
          <w:p>
            <w:r>
              <w:t>Monthly</w:t>
            </w:r>
          </w:p>
        </w:tc>
      </w:tr>
      <w:tr>
        <w:tc>
          <w:tcPr>
            <w:tcW w:type="dxa" w:w="2556"/>
            <w:vAlign w:val="center"/>
          </w:tcPr>
          <w:p>
            <w:r>
              <w:t>USD/INR</w:t>
            </w:r>
          </w:p>
        </w:tc>
        <w:tc>
          <w:tcPr>
            <w:tcW w:type="dxa" w:w="2556"/>
            <w:vAlign w:val="center"/>
          </w:tcPr>
          <w:p>
            <w:r>
              <w:t>RBI / market data provider</w:t>
            </w:r>
          </w:p>
        </w:tc>
        <w:tc>
          <w:tcPr>
            <w:tcW w:type="dxa" w:w="2556"/>
            <w:vAlign w:val="center"/>
          </w:tcPr>
          <w:p>
            <w:r>
              <w:t>Official or reliable programmatic source</w:t>
            </w:r>
          </w:p>
        </w:tc>
        <w:tc>
          <w:tcPr>
            <w:tcW w:type="dxa" w:w="2556"/>
            <w:vAlign w:val="center"/>
          </w:tcPr>
          <w:p>
            <w:r>
              <w:t>Daily</w:t>
            </w:r>
          </w:p>
        </w:tc>
      </w:tr>
      <w:tr>
        <w:tc>
          <w:tcPr>
            <w:tcW w:type="dxa" w:w="2556"/>
            <w:vAlign w:val="center"/>
          </w:tcPr>
          <w:p>
            <w:r>
              <w:t>S&amp;P 500</w:t>
            </w:r>
          </w:p>
        </w:tc>
        <w:tc>
          <w:tcPr>
            <w:tcW w:type="dxa" w:w="2556"/>
            <w:vAlign w:val="center"/>
          </w:tcPr>
          <w:p>
            <w:r>
              <w:t>Market provider</w:t>
            </w:r>
          </w:p>
        </w:tc>
        <w:tc>
          <w:tcPr>
            <w:tcW w:type="dxa" w:w="2556"/>
            <w:vAlign w:val="center"/>
          </w:tcPr>
          <w:p>
            <w:r>
              <w:t>Reliable programmatic market-data source</w:t>
            </w:r>
          </w:p>
        </w:tc>
        <w:tc>
          <w:tcPr>
            <w:tcW w:type="dxa" w:w="2556"/>
            <w:vAlign w:val="center"/>
          </w:tcPr>
          <w:p>
            <w:r>
              <w:t>Daily</w:t>
            </w:r>
          </w:p>
        </w:tc>
      </w:tr>
      <w:tr>
        <w:tc>
          <w:tcPr>
            <w:tcW w:type="dxa" w:w="2556"/>
            <w:vAlign w:val="center"/>
          </w:tcPr>
          <w:p>
            <w:r>
              <w:t>CBOE VIX</w:t>
            </w:r>
          </w:p>
        </w:tc>
        <w:tc>
          <w:tcPr>
            <w:tcW w:type="dxa" w:w="2556"/>
            <w:vAlign w:val="center"/>
          </w:tcPr>
          <w:p>
            <w:r>
              <w:t>Cboe</w:t>
            </w:r>
          </w:p>
        </w:tc>
        <w:tc>
          <w:tcPr>
            <w:tcW w:type="dxa" w:w="2556"/>
            <w:vAlign w:val="center"/>
          </w:tcPr>
          <w:p>
            <w:r>
              <w:t>Official or reliable programmatic source</w:t>
            </w:r>
          </w:p>
        </w:tc>
        <w:tc>
          <w:tcPr>
            <w:tcW w:type="dxa" w:w="2556"/>
            <w:vAlign w:val="center"/>
          </w:tcPr>
          <w:p>
            <w:r>
              <w:t>Daily</w:t>
            </w:r>
          </w:p>
        </w:tc>
      </w:tr>
      <w:tr>
        <w:tc>
          <w:tcPr>
            <w:tcW w:type="dxa" w:w="2556"/>
            <w:vAlign w:val="center"/>
          </w:tcPr>
          <w:p>
            <w:r>
              <w:t>Crude oil</w:t>
            </w:r>
          </w:p>
        </w:tc>
        <w:tc>
          <w:tcPr>
            <w:tcW w:type="dxa" w:w="2556"/>
            <w:vAlign w:val="center"/>
          </w:tcPr>
          <w:p>
            <w:r>
              <w:t>Reliable market-data provider</w:t>
            </w:r>
          </w:p>
        </w:tc>
        <w:tc>
          <w:tcPr>
            <w:tcW w:type="dxa" w:w="2556"/>
            <w:vAlign w:val="center"/>
          </w:tcPr>
          <w:p>
            <w:r>
              <w:t>Programmatic market-data source</w:t>
            </w:r>
          </w:p>
        </w:tc>
        <w:tc>
          <w:tcPr>
            <w:tcW w:type="dxa" w:w="2556"/>
            <w:vAlign w:val="center"/>
          </w:tcPr>
          <w:p>
            <w:r>
              <w:t>Daily</w:t>
            </w:r>
          </w:p>
        </w:tc>
      </w:tr>
    </w:tbl>
    <w:p/>
    <w:p>
      <w:pPr>
        <w:pStyle w:val="Heading1"/>
      </w:pPr>
      <w:r>
        <w:t>6. Data Availability Rules</w:t>
      </w:r>
    </w:p>
    <w:p>
      <w:r>
        <w:t>Each dataset must be assessed against availability, historical depth, required frequency, continuity, programmatic access, and reproducibility.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tcPr>
          <w:p>
            <w:r>
              <w:rPr>
                <w:b/>
              </w:rPr>
              <w:t>Status</w:t>
            </w:r>
          </w:p>
        </w:tc>
        <w:tc>
          <w:tcPr>
            <w:tcW w:type="dxa" w:w="3408"/>
            <w:shd w:fill="D9EAD3"/>
          </w:tcPr>
          <w:p>
            <w:r>
              <w:rPr>
                <w:b/>
              </w:rPr>
              <w:t>Meaning</w:t>
            </w:r>
          </w:p>
        </w:tc>
        <w:tc>
          <w:tcPr>
            <w:tcW w:type="dxa" w:w="3408"/>
            <w:shd w:fill="D9EAD3"/>
          </w:tcPr>
          <w:p>
            <w:r>
              <w:rPr>
                <w:b/>
              </w:rPr>
              <w:t>Project Action</w:t>
            </w:r>
          </w:p>
        </w:tc>
      </w:tr>
      <w:tr>
        <w:tc>
          <w:tcPr>
            <w:tcW w:type="dxa" w:w="3408"/>
            <w:vAlign w:val="center"/>
          </w:tcPr>
          <w:p>
            <w:r>
              <w:t>READY</w:t>
            </w:r>
          </w:p>
        </w:tc>
        <w:tc>
          <w:tcPr>
            <w:tcW w:type="dxa" w:w="3408"/>
            <w:vAlign w:val="center"/>
          </w:tcPr>
          <w:p>
            <w:r>
              <w:t>Required history and access are available at suitable frequency</w:t>
            </w:r>
          </w:p>
        </w:tc>
        <w:tc>
          <w:tcPr>
            <w:tcW w:type="dxa" w:w="3408"/>
            <w:vAlign w:val="center"/>
          </w:tcPr>
          <w:p>
            <w:r>
              <w:t>Use in MVP</w:t>
            </w:r>
          </w:p>
        </w:tc>
      </w:tr>
      <w:tr>
        <w:tc>
          <w:tcPr>
            <w:tcW w:type="dxa" w:w="3408"/>
            <w:vAlign w:val="center"/>
          </w:tcPr>
          <w:p>
            <w:r>
              <w:t>PARTIAL</w:t>
            </w:r>
          </w:p>
        </w:tc>
        <w:tc>
          <w:tcPr>
            <w:tcW w:type="dxa" w:w="3408"/>
            <w:vAlign w:val="center"/>
          </w:tcPr>
          <w:p>
            <w:r>
              <w:t>Data exists but has coverage, access, frequency, or continuity limitations</w:t>
            </w:r>
          </w:p>
        </w:tc>
        <w:tc>
          <w:tcPr>
            <w:tcW w:type="dxa" w:w="3408"/>
            <w:vAlign w:val="center"/>
          </w:tcPr>
          <w:p>
            <w:r>
              <w:t>Use with documented limitation or fallback</w:t>
            </w:r>
          </w:p>
        </w:tc>
      </w:tr>
      <w:tr>
        <w:tc>
          <w:tcPr>
            <w:tcW w:type="dxa" w:w="3408"/>
            <w:vAlign w:val="center"/>
          </w:tcPr>
          <w:p>
            <w:r>
              <w:t>UNAVAILABLE</w:t>
            </w:r>
          </w:p>
        </w:tc>
        <w:tc>
          <w:tcPr>
            <w:tcW w:type="dxa" w:w="3408"/>
            <w:vAlign w:val="center"/>
          </w:tcPr>
          <w:p>
            <w:r>
              <w:t>Cannot support the required MVP use case reliably</w:t>
            </w:r>
          </w:p>
        </w:tc>
        <w:tc>
          <w:tcPr>
            <w:tcW w:type="dxa" w:w="3408"/>
            <w:vAlign w:val="center"/>
          </w:tcPr>
          <w:p>
            <w:r>
              <w:t>Remove or replace</w:t>
            </w:r>
          </w:p>
        </w:tc>
      </w:tr>
    </w:tbl>
    <w:p/>
    <w:p>
      <w:pPr>
        <w:pStyle w:val="Heading1"/>
      </w:pPr>
      <w:r>
        <w:t>7. Group A Decisions</w:t>
      </w:r>
    </w:p>
    <w:p>
      <w:pPr>
        <w:pStyle w:val="ListBullet"/>
      </w:pPr>
      <w:r>
        <w:t>The MVP prioritizes NIFTY 50 and India VIX as the minimum core regime signals.</w:t>
      </w:r>
    </w:p>
    <w:p>
      <w:pPr>
        <w:pStyle w:val="ListBullet"/>
      </w:pPr>
      <w:r>
        <w:t>Macro, FX, global market and commodity datasets provide supporting context rather than being mandatory for the first baseline.</w:t>
      </w:r>
    </w:p>
    <w:p>
      <w:pPr>
        <w:pStyle w:val="ListBullet"/>
      </w:pPr>
      <w:r>
        <w:t>Authoritative producers and practical implementation sources are documented separately.</w:t>
      </w:r>
    </w:p>
    <w:p>
      <w:pPr>
        <w:pStyle w:val="ListBullet"/>
      </w:pPr>
      <w:r>
        <w:t>A dataset is included only when it has a clear connection to regime detection and sufficient historical usability.</w:t>
      </w:r>
    </w:p>
    <w:p>
      <w:pPr>
        <w:pStyle w:val="Heading1"/>
      </w:pPr>
      <w:r>
        <w:t>8. Definition of Done</w:t>
      </w:r>
    </w:p>
    <w:p>
      <w:pPr>
        <w:pStyle w:val="ListBullet"/>
      </w:pPr>
      <w:r>
        <w:t>Required datasets and variables are identified.</w:t>
      </w:r>
    </w:p>
    <w:p>
      <w:pPr>
        <w:pStyle w:val="ListBullet"/>
      </w:pPr>
      <w:r>
        <w:t>Each dataset has a documented purpose and priority.</w:t>
      </w:r>
    </w:p>
    <w:p>
      <w:pPr>
        <w:pStyle w:val="ListBullet"/>
      </w:pPr>
      <w:r>
        <w:t>Preferred sources and access methods are mapped.</w:t>
      </w:r>
    </w:p>
    <w:p>
      <w:pPr>
        <w:pStyle w:val="ListBullet"/>
      </w:pPr>
      <w:r>
        <w:t>Historical availability and limitations are assessed.</w:t>
      </w:r>
    </w:p>
    <w:p>
      <w:pPr>
        <w:pStyle w:val="ListBullet"/>
      </w:pPr>
      <w:r>
        <w:t>Only datasets justified for the MVP move forward to the next layer.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