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1A — Phase 4: Data Layer</w:t>
      </w:r>
    </w:p>
    <w:p>
      <w:pPr>
        <w:jc w:val="center"/>
      </w:pPr>
      <w:r>
        <w:rPr>
          <w:i/>
          <w:sz w:val="22"/>
        </w:rPr>
        <w:t>Group B — Data Schema, Canonical Model, Time Alignment and Historical Design</w:t>
      </w:r>
    </w:p>
    <w:p>
      <w:pPr>
        <w:pStyle w:val="Heading1"/>
      </w:pPr>
      <w:r>
        <w:t>1. Purpose</w:t>
      </w:r>
    </w:p>
    <w:p>
      <w:r>
        <w:t>Group B defines how heterogeneous external data is represented inside Project 1A and how historical observations are aligned without introducing look-ahead leakage. The output is a consistent, point-in-time safe foundation for downstream feature engineering and regime modeling.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>
              <w:rPr>
                <w:b/>
              </w:rPr>
              <w:t>Sub-phase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Primary Deliverable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4.5</w:t>
            </w:r>
          </w:p>
        </w:tc>
        <w:tc>
          <w:tcPr>
            <w:tcW w:type="dxa" w:w="3408"/>
            <w:vAlign w:val="center"/>
          </w:tcPr>
          <w:p>
            <w:r>
              <w:t>Raw Data Schema</w:t>
            </w:r>
          </w:p>
        </w:tc>
        <w:tc>
          <w:tcPr>
            <w:tcW w:type="dxa" w:w="3408"/>
            <w:vAlign w:val="center"/>
          </w:tcPr>
          <w:p>
            <w:r>
              <w:t>Raw schema specification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4.6</w:t>
            </w:r>
          </w:p>
        </w:tc>
        <w:tc>
          <w:tcPr>
            <w:tcW w:type="dxa" w:w="3408"/>
            <w:vAlign w:val="center"/>
          </w:tcPr>
          <w:p>
            <w:r>
              <w:t>Canonical Data Model</w:t>
            </w:r>
          </w:p>
        </w:tc>
        <w:tc>
          <w:tcPr>
            <w:tcW w:type="dxa" w:w="3408"/>
            <w:vAlign w:val="center"/>
          </w:tcPr>
          <w:p>
            <w:r>
              <w:t>Standard internal schemas</w:t>
            </w:r>
          </w:p>
        </w:tc>
      </w:tr>
      <w:tr>
        <w:tc>
          <w:tcPr>
            <w:tcW w:type="dxa" w:w="3408"/>
            <w:vAlign w:val="center"/>
          </w:tcPr>
          <w:p>
            <w:r>
              <w:t>4.7</w:t>
            </w:r>
          </w:p>
        </w:tc>
        <w:tc>
          <w:tcPr>
            <w:tcW w:type="dxa" w:w="3408"/>
            <w:vAlign w:val="center"/>
          </w:tcPr>
          <w:p>
            <w:r>
              <w:t>Entity &amp; Time Alignment</w:t>
            </w:r>
          </w:p>
        </w:tc>
        <w:tc>
          <w:tcPr>
            <w:tcW w:type="dxa" w:w="3408"/>
            <w:vAlign w:val="center"/>
          </w:tcPr>
          <w:p>
            <w:r>
              <w:t>Time alignment strategy</w:t>
            </w:r>
          </w:p>
        </w:tc>
      </w:tr>
      <w:tr>
        <w:tc>
          <w:tcPr>
            <w:tcW w:type="dxa" w:w="3408"/>
            <w:vAlign w:val="center"/>
          </w:tcPr>
          <w:p>
            <w:r>
              <w:t>4.8</w:t>
            </w:r>
          </w:p>
        </w:tc>
        <w:tc>
          <w:tcPr>
            <w:tcW w:type="dxa" w:w="3408"/>
            <w:vAlign w:val="center"/>
          </w:tcPr>
          <w:p>
            <w:r>
              <w:t>Historical Data Strategy</w:t>
            </w:r>
          </w:p>
        </w:tc>
        <w:tc>
          <w:tcPr>
            <w:tcW w:type="dxa" w:w="3408"/>
            <w:vAlign w:val="center"/>
          </w:tcPr>
          <w:p>
            <w:r>
              <w:t>Historical and split strategy</w:t>
            </w:r>
          </w:p>
        </w:tc>
      </w:tr>
    </w:tbl>
    <w:p/>
    <w:p>
      <w:pPr>
        <w:pStyle w:val="Heading1"/>
      </w:pPr>
      <w:r>
        <w:t>2. Raw Data Schema</w:t>
      </w:r>
    </w:p>
    <w:p>
      <w:r>
        <w:t>Raw data is preserved as close as possible to the original source. Source-specific fields are not silently overwritten. Ingestion adds metadata required for traceability and reproducibility.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dataset_id</w:t>
            </w:r>
          </w:p>
        </w:tc>
        <w:tc>
          <w:tcPr>
            <w:tcW w:type="dxa" w:w="5112"/>
            <w:vAlign w:val="center"/>
          </w:tcPr>
          <w:p>
            <w:r>
              <w:t>Identifies the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</w:t>
            </w:r>
          </w:p>
        </w:tc>
        <w:tc>
          <w:tcPr>
            <w:tcW w:type="dxa" w:w="5112"/>
            <w:vAlign w:val="center"/>
          </w:tcPr>
          <w:p>
            <w:r>
              <w:t>Identifies the provider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observation_date</w:t>
            </w:r>
          </w:p>
        </w:tc>
        <w:tc>
          <w:tcPr>
            <w:tcW w:type="dxa" w:w="5112"/>
            <w:vAlign w:val="center"/>
          </w:tcPr>
          <w:p>
            <w:r>
              <w:t>Date/time to which the value belongs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ingestion_timestamp</w:t>
            </w:r>
          </w:p>
        </w:tc>
        <w:tc>
          <w:tcPr>
            <w:tcW w:type="dxa" w:w="5112"/>
            <w:vAlign w:val="center"/>
          </w:tcPr>
          <w:p>
            <w:r>
              <w:t>Time the project retrieved the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source_timestamp</w:t>
            </w:r>
          </w:p>
        </w:tc>
        <w:tc>
          <w:tcPr>
            <w:tcW w:type="dxa" w:w="5112"/>
            <w:vAlign w:val="center"/>
          </w:tcPr>
          <w:p>
            <w:r>
              <w:t>Provider publication/update timestamp when available</w:t>
            </w:r>
          </w:p>
        </w:tc>
      </w:tr>
      <w:tr>
        <w:tc>
          <w:tcPr>
            <w:tcW w:type="dxa" w:w="5112"/>
            <w:vAlign w:val="center"/>
          </w:tcPr>
          <w:p>
            <w:r>
              <w:t>raw_value / source fields</w:t>
            </w:r>
          </w:p>
        </w:tc>
        <w:tc>
          <w:tcPr>
            <w:tcW w:type="dxa" w:w="5112"/>
            <w:vAlign w:val="center"/>
          </w:tcPr>
          <w:p>
            <w:r>
              <w:t>Original values from the source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source_reference</w:t>
            </w:r>
          </w:p>
        </w:tc>
        <w:tc>
          <w:tcPr>
            <w:tcW w:type="dxa" w:w="5112"/>
            <w:vAlign w:val="center"/>
          </w:tcPr>
          <w:p>
            <w:r>
              <w:t>API endpoint, file reference, or source identifier</w:t>
            </w:r>
          </w:p>
        </w:tc>
      </w:tr>
    </w:tbl>
    <w:p/>
    <w:p>
      <w:pPr>
        <w:pStyle w:val="Heading1"/>
      </w:pPr>
      <w:r>
        <w:t>3. Canonical Data Model</w:t>
      </w:r>
    </w:p>
    <w:p>
      <w:r>
        <w:t>The canonical model gives all downstream components a consistent internal representation regardless of source naming conventions.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Market Time-Series Fields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Indicator / Macro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t>timestamp, entity_id, open, high, low, close, adjusted_close, volume, source, dataset_version</w:t>
            </w:r>
          </w:p>
        </w:tc>
        <w:tc>
          <w:tcPr>
            <w:tcW w:type="dxa" w:w="5112"/>
            <w:vAlign w:val="center"/>
          </w:tcPr>
          <w:p>
            <w:r>
              <w:t>timestamp, entity_id, value, frequency, available_at, source, dataset_version</w:t>
            </w:r>
          </w:p>
        </w:tc>
      </w:tr>
    </w:tbl>
    <w:p/>
    <w:p>
      <w:pPr>
        <w:pStyle w:val="Heading1"/>
      </w:pPr>
      <w:r>
        <w:t>4. Entity and Time Alignment</w:t>
      </w:r>
    </w:p>
    <w:p>
      <w:r>
        <w:t>Time alignment is based on information availability rather than simple date matching. The system distinguishes when a value belongs from when the value became knowable.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observation_date</w:t>
            </w:r>
          </w:p>
        </w:tc>
        <w:tc>
          <w:tcPr>
            <w:tcW w:type="dxa" w:w="5112"/>
            <w:vAlign w:val="center"/>
          </w:tcPr>
          <w:p>
            <w:r>
              <w:t>When the market/economic observation belongs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available_at</w:t>
            </w:r>
          </w:p>
        </w:tc>
        <w:tc>
          <w:tcPr>
            <w:tcW w:type="dxa" w:w="5112"/>
            <w:vAlign w:val="center"/>
          </w:tcPr>
          <w:p>
            <w:r>
              <w:t>When the information could legitimately be used</w:t>
            </w:r>
          </w:p>
        </w:tc>
      </w:tr>
      <w:tr>
        <w:tc>
          <w:tcPr>
            <w:tcW w:type="dxa" w:w="5112"/>
            <w:vAlign w:val="center"/>
          </w:tcPr>
          <w:p>
            <w:r>
              <w:t>ingestion_timestamp</w:t>
            </w:r>
          </w:p>
        </w:tc>
        <w:tc>
          <w:tcPr>
            <w:tcW w:type="dxa" w:w="5112"/>
            <w:vAlign w:val="center"/>
          </w:tcPr>
          <w:p>
            <w:r>
              <w:t>When the project pipeline retrieved it</w:t>
            </w:r>
          </w:p>
        </w:tc>
      </w:tr>
    </w:tbl>
    <w:p/>
    <w:p>
      <w:pPr>
        <w:pStyle w:val="ListBullet"/>
      </w:pPr>
      <w:r>
        <w:t>Daily domestic market data is aligned by trading date.</w:t>
      </w:r>
    </w:p>
    <w:p>
      <w:pPr>
        <w:pStyle w:val="ListBullet"/>
      </w:pPr>
      <w:r>
        <w:t>Macro data is used only on or after its documented availability date.</w:t>
      </w:r>
    </w:p>
    <w:p>
      <w:pPr>
        <w:pStyle w:val="ListBullet"/>
      </w:pPr>
      <w:r>
        <w:t>Lower-frequency indicators may be forward-filled only after they become available.</w:t>
      </w:r>
    </w:p>
    <w:p>
      <w:pPr>
        <w:pStyle w:val="ListBullet"/>
      </w:pPr>
      <w:r>
        <w:t>Global market signals must respect market timing; only information available before the prediction point may be used.</w:t>
      </w:r>
    </w:p>
    <w:p>
      <w:pPr>
        <w:pStyle w:val="ListBullet"/>
      </w:pPr>
      <w:r>
        <w:t>A row is invalid for prediction time t if available_at is later than t.</w:t>
      </w:r>
    </w:p>
    <w:p>
      <w:pPr>
        <w:pStyle w:val="Heading1"/>
      </w:pPr>
      <w:r>
        <w:t>5. Historical Data Strategy</w:t>
      </w:r>
    </w:p>
    <w:p>
      <w:r>
        <w:t>The MVP targets a broad historical period, approximately 2010 through the latest available data, subject to the coverage of each dataset. Time-series observations are never randomly shuffled.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5112"/>
            <w:shd w:fill="D9EAD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2010–2020</w:t>
            </w:r>
          </w:p>
        </w:tc>
        <w:tc>
          <w:tcPr>
            <w:tcW w:type="dxa" w:w="5112"/>
            <w:vAlign w:val="center"/>
          </w:tcPr>
          <w:p>
            <w:r>
              <w:t>Initial training window</w:t>
            </w:r>
          </w:p>
        </w:tc>
      </w:tr>
      <w:tr>
        <w:tc>
          <w:tcPr>
            <w:tcW w:type="dxa" w:w="5112"/>
            <w:vAlign w:val="center"/>
          </w:tcPr>
          <w:p>
            <w:r>
              <w:t>2021–2023</w:t>
            </w:r>
          </w:p>
        </w:tc>
        <w:tc>
          <w:tcPr>
            <w:tcW w:type="dxa" w:w="5112"/>
            <w:vAlign w:val="center"/>
          </w:tcPr>
          <w:p>
            <w:r>
              <w:t>Initial validation window</w:t>
            </w:r>
          </w:p>
        </w:tc>
      </w:tr>
      <w:tr>
        <w:tc>
          <w:tcPr>
            <w:tcW w:type="dxa" w:w="5112"/>
            <w:vAlign w:val="center"/>
          </w:tcPr>
          <w:p>
            <w:r>
              <w:t>2024–Latest</w:t>
            </w:r>
          </w:p>
        </w:tc>
        <w:tc>
          <w:tcPr>
            <w:tcW w:type="dxa" w:w="5112"/>
            <w:vAlign w:val="center"/>
          </w:tcPr>
          <w:p>
            <w:r>
              <w:t>Initial holdout test window</w:t>
            </w:r>
          </w:p>
        </w:tc>
      </w:tr>
    </w:tbl>
    <w:p/>
    <w:p>
      <w:r>
        <w:t>These boundaries are initial defaults and may be adjusted after actual data coverage is verified. Revisions must be documented, and point-in-time availability must be preserved wherever possible.</w:t>
      </w:r>
    </w:p>
    <w:p>
      <w:pPr>
        <w:pStyle w:val="Heading1"/>
      </w:pPr>
      <w:r>
        <w:t>6. Point-in-Time Integrity Rule</w:t>
      </w:r>
    </w:p>
    <w:p>
      <w:r>
        <w:t>For any prediction at time t, only information satisfying available_at ≤ t is eligible for model input. Information published after t is excluded, even if its observation period is earlier.</w:t>
      </w:r>
    </w:p>
    <w:p>
      <w:pPr>
        <w:pStyle w:val="Heading1"/>
      </w:pPr>
      <w:r>
        <w:t>7. Group B Decisions</w:t>
      </w:r>
    </w:p>
    <w:p>
      <w:pPr>
        <w:pStyle w:val="ListBullet"/>
      </w:pPr>
      <w:r>
        <w:t>Raw data remains immutable after ingestion.</w:t>
      </w:r>
    </w:p>
    <w:p>
      <w:pPr>
        <w:pStyle w:val="ListBullet"/>
      </w:pPr>
      <w:r>
        <w:t>Canonical schemas isolate downstream code from provider-specific naming.</w:t>
      </w:r>
    </w:p>
    <w:p>
      <w:pPr>
        <w:pStyle w:val="ListBullet"/>
      </w:pPr>
      <w:r>
        <w:t>Time alignment is availability-aware to prevent look-ahead leakage.</w:t>
      </w:r>
    </w:p>
    <w:p>
      <w:pPr>
        <w:pStyle w:val="ListBullet"/>
      </w:pPr>
      <w:r>
        <w:t>Historical splits follow chronological order.</w:t>
      </w:r>
    </w:p>
    <w:p>
      <w:pPr>
        <w:pStyle w:val="ListBullet"/>
      </w:pPr>
      <w:r>
        <w:t>Macro and revised datasets require explicit point-in-time handling.</w:t>
      </w:r>
    </w:p>
    <w:p>
      <w:pPr>
        <w:pStyle w:val="Heading1"/>
      </w:pPr>
      <w:r>
        <w:t>8. Definition of Done</w:t>
      </w:r>
    </w:p>
    <w:p>
      <w:pPr>
        <w:pStyle w:val="ListBullet"/>
      </w:pPr>
      <w:r>
        <w:t>Raw and canonical schemas are defined.</w:t>
      </w:r>
    </w:p>
    <w:p>
      <w:pPr>
        <w:pStyle w:val="ListBullet"/>
      </w:pPr>
      <w:r>
        <w:t>Entity identifiers and time fields are standardized.</w:t>
      </w:r>
    </w:p>
    <w:p>
      <w:pPr>
        <w:pStyle w:val="ListBullet"/>
      </w:pPr>
      <w:r>
        <w:t>Alignment rules cover daily, monthly and event-based data.</w:t>
      </w:r>
    </w:p>
    <w:p>
      <w:pPr>
        <w:pStyle w:val="ListBullet"/>
      </w:pPr>
      <w:r>
        <w:t>Historical coverage and chronological splits are documented.</w:t>
      </w:r>
    </w:p>
    <w:p>
      <w:pPr>
        <w:pStyle w:val="ListBullet"/>
      </w:pPr>
      <w:r>
        <w:t>Point-in-time leakage rules are explicit.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