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1A — Phase 4: Data Layer</w:t>
      </w:r>
    </w:p>
    <w:p>
      <w:pPr>
        <w:jc w:val="center"/>
      </w:pPr>
      <w:r>
        <w:rPr>
          <w:i/>
          <w:sz w:val="22"/>
        </w:rPr>
        <w:t>Group C — Storage Architecture, Partitioning, Versioning and Lineage</w:t>
      </w:r>
    </w:p>
    <w:p>
      <w:pPr>
        <w:pStyle w:val="Heading1"/>
      </w:pPr>
      <w:r>
        <w:t>1. Purpose</w:t>
      </w:r>
    </w:p>
    <w:p>
      <w:r>
        <w:t>Group C defines where data is stored, how it is organized, how dataset changes are tracked, and how every curated dataset can be traced back through its transformations to its original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D3"/>
          </w:tcPr>
          <w:p>
            <w:r>
              <w:rPr>
                <w:b/>
              </w:rPr>
              <w:t>Sub-phase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Primary Deliverable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4.9</w:t>
            </w:r>
          </w:p>
        </w:tc>
        <w:tc>
          <w:tcPr>
            <w:tcW w:type="dxa" w:w="3408"/>
            <w:vAlign w:val="center"/>
          </w:tcPr>
          <w:p>
            <w:r>
              <w:t>Storage Architecture</w:t>
            </w:r>
          </w:p>
        </w:tc>
        <w:tc>
          <w:tcPr>
            <w:tcW w:type="dxa" w:w="3408"/>
            <w:vAlign w:val="center"/>
          </w:tcPr>
          <w:p>
            <w:r>
              <w:t>Layered storage design</w:t>
            </w:r>
          </w:p>
        </w:tc>
      </w:tr>
      <w:tr>
        <w:tc>
          <w:tcPr>
            <w:tcW w:type="dxa" w:w="3408"/>
            <w:vAlign w:val="center"/>
          </w:tcPr>
          <w:p>
            <w:r>
              <w:t>4.10</w:t>
            </w:r>
          </w:p>
        </w:tc>
        <w:tc>
          <w:tcPr>
            <w:tcW w:type="dxa" w:w="3408"/>
            <w:vAlign w:val="center"/>
          </w:tcPr>
          <w:p>
            <w:r>
              <w:t>Data Partitioning</w:t>
            </w:r>
          </w:p>
        </w:tc>
        <w:tc>
          <w:tcPr>
            <w:tcW w:type="dxa" w:w="3408"/>
            <w:vAlign w:val="center"/>
          </w:tcPr>
          <w:p>
            <w:r>
              <w:t>Directory and partition strategy</w:t>
            </w:r>
          </w:p>
        </w:tc>
      </w:tr>
      <w:tr>
        <w:tc>
          <w:tcPr>
            <w:tcW w:type="dxa" w:w="3408"/>
            <w:vAlign w:val="center"/>
          </w:tcPr>
          <w:p>
            <w:r>
              <w:t>4.11</w:t>
            </w:r>
          </w:p>
        </w:tc>
        <w:tc>
          <w:tcPr>
            <w:tcW w:type="dxa" w:w="3408"/>
            <w:vAlign w:val="center"/>
          </w:tcPr>
          <w:p>
            <w:r>
              <w:t>Data Versioning</w:t>
            </w:r>
          </w:p>
        </w:tc>
        <w:tc>
          <w:tcPr>
            <w:tcW w:type="dxa" w:w="3408"/>
            <w:vAlign w:val="center"/>
          </w:tcPr>
          <w:p>
            <w:r>
              <w:t>Dataset version and manifest strategy</w:t>
            </w:r>
          </w:p>
        </w:tc>
      </w:tr>
      <w:tr>
        <w:tc>
          <w:tcPr>
            <w:tcW w:type="dxa" w:w="3408"/>
            <w:vAlign w:val="center"/>
          </w:tcPr>
          <w:p>
            <w:r>
              <w:t>4.12</w:t>
            </w:r>
          </w:p>
        </w:tc>
        <w:tc>
          <w:tcPr>
            <w:tcW w:type="dxa" w:w="3408"/>
            <w:vAlign w:val="center"/>
          </w:tcPr>
          <w:p>
            <w:r>
              <w:t>Data Lineage</w:t>
            </w:r>
          </w:p>
        </w:tc>
        <w:tc>
          <w:tcPr>
            <w:tcW w:type="dxa" w:w="3408"/>
            <w:vAlign w:val="center"/>
          </w:tcPr>
          <w:p>
            <w:r>
              <w:t>Provenance specification</w:t>
            </w:r>
          </w:p>
        </w:tc>
      </w:tr>
    </w:tbl>
    <w:p/>
    <w:p>
      <w:pPr>
        <w:pStyle w:val="Heading1"/>
      </w:pPr>
      <w:r>
        <w:t>2. Storage Architecture</w:t>
      </w:r>
    </w:p>
    <w:p>
      <w:r>
        <w:t>The MVP uses a simple layered architecture rather than unnecessary cloud or streaming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D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Typical Content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raw</w:t>
            </w:r>
          </w:p>
        </w:tc>
        <w:tc>
          <w:tcPr>
            <w:tcW w:type="dxa" w:w="3408"/>
            <w:vAlign w:val="center"/>
          </w:tcPr>
          <w:p>
            <w:r>
              <w:t>Immutable source capture</w:t>
            </w:r>
          </w:p>
        </w:tc>
        <w:tc>
          <w:tcPr>
            <w:tcW w:type="dxa" w:w="3408"/>
            <w:vAlign w:val="center"/>
          </w:tcPr>
          <w:p>
            <w:r>
              <w:t>Downloaded files and source-faithful datasets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processed</w:t>
            </w:r>
          </w:p>
        </w:tc>
        <w:tc>
          <w:tcPr>
            <w:tcW w:type="dxa" w:w="3408"/>
            <w:vAlign w:val="center"/>
          </w:tcPr>
          <w:p>
            <w:r>
              <w:t>Cleaned and standardized datasets</w:t>
            </w:r>
          </w:p>
        </w:tc>
        <w:tc>
          <w:tcPr>
            <w:tcW w:type="dxa" w:w="3408"/>
            <w:vAlign w:val="center"/>
          </w:tcPr>
          <w:p>
            <w:r>
              <w:t>Validated source datasets in canonical form</w:t>
            </w:r>
          </w:p>
        </w:tc>
      </w:tr>
      <w:tr>
        <w:tc>
          <w:tcPr>
            <w:tcW w:type="dxa" w:w="3408"/>
            <w:vAlign w:val="center"/>
          </w:tcPr>
          <w:p>
            <w:r>
              <w:t>curated</w:t>
            </w:r>
          </w:p>
        </w:tc>
        <w:tc>
          <w:tcPr>
            <w:tcW w:type="dxa" w:w="3408"/>
            <w:vAlign w:val="center"/>
          </w:tcPr>
          <w:p>
            <w:r>
              <w:t>Aligned model-ready datasets</w:t>
            </w:r>
          </w:p>
        </w:tc>
        <w:tc>
          <w:tcPr>
            <w:tcW w:type="dxa" w:w="3408"/>
            <w:vAlign w:val="center"/>
          </w:tcPr>
          <w:p>
            <w:r>
              <w:t>Regime analysis datasets and approved intermediate outputs</w:t>
            </w:r>
          </w:p>
        </w:tc>
      </w:tr>
      <w:tr>
        <w:tc>
          <w:tcPr>
            <w:tcW w:type="dxa" w:w="3408"/>
            <w:vAlign w:val="center"/>
          </w:tcPr>
          <w:p>
            <w:r>
              <w:t>metadata</w:t>
            </w:r>
          </w:p>
        </w:tc>
        <w:tc>
          <w:tcPr>
            <w:tcW w:type="dxa" w:w="3408"/>
            <w:vAlign w:val="center"/>
          </w:tcPr>
          <w:p>
            <w:r>
              <w:t>Governance and reproducibility</w:t>
            </w:r>
          </w:p>
        </w:tc>
        <w:tc>
          <w:tcPr>
            <w:tcW w:type="dxa" w:w="3408"/>
            <w:vAlign w:val="center"/>
          </w:tcPr>
          <w:p>
            <w:r>
              <w:t>Manifests, versions, lineage and schema metadata</w:t>
            </w:r>
          </w:p>
        </w:tc>
      </w:tr>
    </w:tbl>
    <w:p/>
    <w:p>
      <w:pPr>
        <w:pStyle w:val="ListBullet"/>
      </w:pPr>
      <w:r>
        <w:t>Parquet is the primary format for tabular and time-series datasets.</w:t>
      </w:r>
    </w:p>
    <w:p>
      <w:pPr>
        <w:pStyle w:val="ListBullet"/>
      </w:pPr>
      <w:r>
        <w:t>JSON or YAML stores metadata, manifests and configuration.</w:t>
      </w:r>
    </w:p>
    <w:p>
      <w:pPr>
        <w:pStyle w:val="ListBullet"/>
      </w:pPr>
      <w:r>
        <w:t>Git stores code, schemas, configuration and documentation.</w:t>
      </w:r>
    </w:p>
    <w:p>
      <w:pPr>
        <w:pStyle w:val="ListBullet"/>
      </w:pPr>
      <w:r>
        <w:t>Large raw datasets are not committed directly to GitHub.</w:t>
      </w:r>
    </w:p>
    <w:p>
      <w:pPr>
        <w:pStyle w:val="Heading1"/>
      </w:pPr>
      <w:r>
        <w:t>3. Partitioning and Organization</w:t>
      </w:r>
    </w:p>
    <w:p>
      <w:r>
        <w:t>Data is organized by layer, domain, dataset and frequency. Date partitioning is introduced only when useful for size or incremental processing.</w:t>
      </w:r>
    </w:p>
    <w:p>
      <w:r>
        <w:t>Recommended hierarchy:</w:t>
      </w:r>
    </w:p>
    <w:p>
      <w:r>
        <w:t>data/raw/&lt;domain&gt;/&lt;dataset&gt;/&lt;frequency&gt;/[year=YYYY]/</w:t>
      </w:r>
    </w:p>
    <w:p>
      <w:r>
        <w:t>data/processed/&lt;dataset&gt;/[frequency]/</w:t>
      </w:r>
    </w:p>
    <w:p>
      <w:r>
        <w:t>data/curated/regime_dataset/</w:t>
      </w:r>
    </w:p>
    <w:p>
      <w:r>
        <w:t>data/metadata/manifests/</w:t>
      </w:r>
    </w:p>
    <w:p>
      <w:pPr>
        <w:pStyle w:val="Heading1"/>
      </w:pPr>
      <w:r>
        <w:t>4. Data Versioning</w:t>
      </w:r>
    </w:p>
    <w:p>
      <w:r>
        <w:t>Dataset versions are tracked independently of code versions because providers may extend, revise or correct historical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r>
              <w:rPr>
                <w:b/>
              </w:rPr>
              <w:t>Metadata Field</w:t>
            </w:r>
          </w:p>
        </w:tc>
        <w:tc>
          <w:tcPr>
            <w:tcW w:type="dxa" w:w="5112"/>
            <w:shd w:fill="D9EAD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dataset_name</w:t>
            </w:r>
          </w:p>
        </w:tc>
        <w:tc>
          <w:tcPr>
            <w:tcW w:type="dxa" w:w="5112"/>
            <w:vAlign w:val="center"/>
          </w:tcPr>
          <w:p>
            <w:r>
              <w:t>Dataset identity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Dataset version label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</w:t>
            </w:r>
          </w:p>
        </w:tc>
        <w:tc>
          <w:tcPr>
            <w:tcW w:type="dxa" w:w="5112"/>
            <w:vAlign w:val="center"/>
          </w:tcPr>
          <w:p>
            <w:r>
              <w:t>Provider or source identity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retrieval_date</w:t>
            </w:r>
          </w:p>
        </w:tc>
        <w:tc>
          <w:tcPr>
            <w:tcW w:type="dxa" w:w="5112"/>
            <w:vAlign w:val="center"/>
          </w:tcPr>
          <w:p>
            <w:r>
              <w:t>Snapshot retrieval date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coverage_start / coverage_end</w:t>
            </w:r>
          </w:p>
        </w:tc>
        <w:tc>
          <w:tcPr>
            <w:tcW w:type="dxa" w:w="5112"/>
            <w:vAlign w:val="center"/>
          </w:tcPr>
          <w:p>
            <w:r>
              <w:t>Historical range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record_count</w:t>
            </w:r>
          </w:p>
        </w:tc>
        <w:tc>
          <w:tcPr>
            <w:tcW w:type="dxa" w:w="5112"/>
            <w:vAlign w:val="center"/>
          </w:tcPr>
          <w:p>
            <w:r>
              <w:t>Basic integrity indicator</w:t>
            </w:r>
          </w:p>
        </w:tc>
      </w:tr>
      <w:tr>
        <w:tc>
          <w:tcPr>
            <w:tcW w:type="dxa" w:w="5112"/>
            <w:vAlign w:val="center"/>
          </w:tcPr>
          <w:p>
            <w:r>
              <w:t>schema_version</w:t>
            </w:r>
          </w:p>
        </w:tc>
        <w:tc>
          <w:tcPr>
            <w:tcW w:type="dxa" w:w="5112"/>
            <w:vAlign w:val="center"/>
          </w:tcPr>
          <w:p>
            <w:r>
              <w:t>Expected structure</w:t>
            </w:r>
          </w:p>
        </w:tc>
      </w:tr>
      <w:tr>
        <w:tc>
          <w:tcPr>
            <w:tcW w:type="dxa" w:w="5112"/>
            <w:vAlign w:val="center"/>
          </w:tcPr>
          <w:p>
            <w:r>
              <w:t>file_hash</w:t>
            </w:r>
          </w:p>
        </w:tc>
        <w:tc>
          <w:tcPr>
            <w:tcW w:type="dxa" w:w="5112"/>
            <w:vAlign w:val="center"/>
          </w:tcPr>
          <w:p>
            <w:r>
              <w:t>Exact file identity</w:t>
            </w:r>
          </w:p>
        </w:tc>
      </w:tr>
    </w:tbl>
    <w:p/>
    <w:p>
      <w:r>
        <w:t>Semantic-style labels such as v1.0.0 may be used. A meaningful change to source, schema, historical snapshot or transformation logic requires version review.</w:t>
      </w:r>
    </w:p>
    <w:p>
      <w:pPr>
        <w:pStyle w:val="Heading1"/>
      </w:pPr>
      <w:r>
        <w:t>5. Data Lineage and Provenance</w:t>
      </w:r>
    </w:p>
    <w:p>
      <w:r>
        <w:t>Lineage records the journey of data through the system.</w:t>
      </w:r>
    </w:p>
    <w:p>
      <w:r>
        <w:t>Source Provider → Raw Dataset → Ingestion Job → Processed Dataset → Transformation → Curated Dataset → Feature Engineering →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D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dataset_id</w:t>
            </w:r>
          </w:p>
        </w:tc>
        <w:tc>
          <w:tcPr>
            <w:tcW w:type="dxa" w:w="5112"/>
            <w:vAlign w:val="center"/>
          </w:tcPr>
          <w:p>
            <w:r>
              <w:t>Identity of the current dataset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parent_dataset</w:t>
            </w:r>
          </w:p>
        </w:tc>
        <w:tc>
          <w:tcPr>
            <w:tcW w:type="dxa" w:w="5112"/>
            <w:vAlign w:val="center"/>
          </w:tcPr>
          <w:p>
            <w:r>
              <w:t>Upstream dataset relationship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</w:t>
            </w:r>
          </w:p>
        </w:tc>
        <w:tc>
          <w:tcPr>
            <w:tcW w:type="dxa" w:w="5112"/>
            <w:vAlign w:val="center"/>
          </w:tcPr>
          <w:p>
            <w:r>
              <w:t>Original provider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source_reference</w:t>
            </w:r>
          </w:p>
        </w:tc>
        <w:tc>
          <w:tcPr>
            <w:tcW w:type="dxa" w:w="5112"/>
            <w:vAlign w:val="center"/>
          </w:tcPr>
          <w:p>
            <w:r>
              <w:t>API/file/source reference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ingestion_timestamp</w:t>
            </w:r>
          </w:p>
        </w:tc>
        <w:tc>
          <w:tcPr>
            <w:tcW w:type="dxa" w:w="5112"/>
            <w:vAlign w:val="center"/>
          </w:tcPr>
          <w:p>
            <w:r>
              <w:t>Retrieval event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transformation</w:t>
            </w:r>
          </w:p>
        </w:tc>
        <w:tc>
          <w:tcPr>
            <w:tcW w:type="dxa" w:w="5112"/>
            <w:vAlign w:val="center"/>
          </w:tcPr>
          <w:p>
            <w:r>
              <w:t>Processing operation applied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code_version</w:t>
            </w:r>
          </w:p>
        </w:tc>
        <w:tc>
          <w:tcPr>
            <w:tcW w:type="dxa" w:w="5112"/>
            <w:vAlign w:val="center"/>
          </w:tcPr>
          <w:p>
            <w:r>
              <w:t>Code/Git revision where applicable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dataset_version</w:t>
            </w:r>
          </w:p>
        </w:tc>
        <w:tc>
          <w:tcPr>
            <w:tcW w:type="dxa" w:w="5112"/>
            <w:vAlign w:val="center"/>
          </w:tcPr>
          <w:p>
            <w:r>
              <w:t>Exact data snapshot used</w:t>
            </w:r>
          </w:p>
        </w:tc>
      </w:tr>
    </w:tbl>
    <w:p/>
    <w:p>
      <w:pPr>
        <w:pStyle w:val="Heading1"/>
      </w:pPr>
      <w:r>
        <w:t>6. Group C Decisions</w:t>
      </w:r>
    </w:p>
    <w:p>
      <w:pPr>
        <w:pStyle w:val="ListBullet"/>
      </w:pPr>
      <w:r>
        <w:t>A four-layer local storage structure is sufficient for the MVP.</w:t>
      </w:r>
    </w:p>
    <w:p>
      <w:pPr>
        <w:pStyle w:val="ListBullet"/>
      </w:pPr>
      <w:r>
        <w:t>Parquet is preferred for analytical time-series storage.</w:t>
      </w:r>
    </w:p>
    <w:p>
      <w:pPr>
        <w:pStyle w:val="ListBullet"/>
      </w:pPr>
      <w:r>
        <w:t>Partitioning is simple and dataset-oriented; over-partitioning is avoided.</w:t>
      </w:r>
    </w:p>
    <w:p>
      <w:pPr>
        <w:pStyle w:val="ListBullet"/>
      </w:pPr>
      <w:r>
        <w:t>Dataset manifests capture snapshot identity and integrity metadata.</w:t>
      </w:r>
    </w:p>
    <w:p>
      <w:pPr>
        <w:pStyle w:val="ListBullet"/>
      </w:pPr>
      <w:r>
        <w:t>Every curated output must be traceable to its parent datasets and transformations.</w:t>
      </w:r>
    </w:p>
    <w:p>
      <w:pPr>
        <w:pStyle w:val="Heading1"/>
      </w:pPr>
      <w:r>
        <w:t>7. Definition of Done</w:t>
      </w:r>
    </w:p>
    <w:p>
      <w:pPr>
        <w:pStyle w:val="ListBullet"/>
      </w:pPr>
      <w:r>
        <w:t>Storage layers and file formats are defined.</w:t>
      </w:r>
    </w:p>
    <w:p>
      <w:pPr>
        <w:pStyle w:val="ListBullet"/>
      </w:pPr>
      <w:r>
        <w:t>Folder hierarchy and partition conventions are documented.</w:t>
      </w:r>
    </w:p>
    <w:p>
      <w:pPr>
        <w:pStyle w:val="ListBullet"/>
      </w:pPr>
      <w:r>
        <w:t>Dataset version metadata is specified.</w:t>
      </w:r>
    </w:p>
    <w:p>
      <w:pPr>
        <w:pStyle w:val="ListBullet"/>
      </w:pPr>
      <w:r>
        <w:t>Manifest location and required fields are defined.</w:t>
      </w:r>
    </w:p>
    <w:p>
      <w:pPr>
        <w:pStyle w:val="ListBullet"/>
      </w:pPr>
      <w:r>
        <w:t>Source-to-curated lineage can be represented for every important dataset.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