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1A — Phase 4: Data Layer</w:t>
      </w:r>
    </w:p>
    <w:p>
      <w:pPr>
        <w:jc w:val="center"/>
      </w:pPr>
      <w:r>
        <w:rPr>
          <w:i/>
          <w:sz w:val="22"/>
        </w:rPr>
        <w:t>Group D — Data Quality, Validation, Access Layer and Final Specification</w:t>
      </w:r>
    </w:p>
    <w:p>
      <w:pPr>
        <w:pStyle w:val="Heading1"/>
      </w:pPr>
      <w:r>
        <w:t>1. Purpose</w:t>
      </w:r>
    </w:p>
    <w:p>
      <w:r>
        <w:t>Group D converts the data design into enforceable rules. It defines what trustworthy data means, how integrity checks respond to failures, how downstream components access approved datasets, and how the complete Phase 4 Data Layer is consolidated into a single contract.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D3"/>
          </w:tcPr>
          <w:p>
            <w:r>
              <w:rPr>
                <w:b/>
              </w:rPr>
              <w:t>Sub-phase</w:t>
            </w:r>
          </w:p>
        </w:tc>
        <w:tc>
          <w:tcPr>
            <w:tcW w:type="dxa" w:w="3408"/>
            <w:shd w:fill="D9EAD3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3408"/>
            <w:shd w:fill="D9EAD3"/>
          </w:tcPr>
          <w:p>
            <w:r>
              <w:rPr>
                <w:b/>
              </w:rPr>
              <w:t>Primary Deliverable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4.13</w:t>
            </w:r>
          </w:p>
        </w:tc>
        <w:tc>
          <w:tcPr>
            <w:tcW w:type="dxa" w:w="3408"/>
            <w:vAlign w:val="center"/>
          </w:tcPr>
          <w:p>
            <w:r>
              <w:t>Data Quality</w:t>
            </w:r>
          </w:p>
        </w:tc>
        <w:tc>
          <w:tcPr>
            <w:tcW w:type="dxa" w:w="3408"/>
            <w:vAlign w:val="center"/>
          </w:tcPr>
          <w:p>
            <w:r>
              <w:t>Quality framework</w:t>
            </w:r>
          </w:p>
        </w:tc>
      </w:tr>
      <w:tr>
        <w:tc>
          <w:tcPr>
            <w:tcW w:type="dxa" w:w="3408"/>
            <w:vAlign w:val="center"/>
          </w:tcPr>
          <w:p>
            <w:r>
              <w:t>4.14</w:t>
            </w:r>
          </w:p>
        </w:tc>
        <w:tc>
          <w:tcPr>
            <w:tcW w:type="dxa" w:w="3408"/>
            <w:vAlign w:val="center"/>
          </w:tcPr>
          <w:p>
            <w:r>
              <w:t>Data Validation</w:t>
            </w:r>
          </w:p>
        </w:tc>
        <w:tc>
          <w:tcPr>
            <w:tcW w:type="dxa" w:w="3408"/>
            <w:vAlign w:val="center"/>
          </w:tcPr>
          <w:p>
            <w:r>
              <w:t>Validation rules and actions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4.15</w:t>
            </w:r>
          </w:p>
        </w:tc>
        <w:tc>
          <w:tcPr>
            <w:tcW w:type="dxa" w:w="3408"/>
            <w:vAlign w:val="center"/>
          </w:tcPr>
          <w:p>
            <w:r>
              <w:t>Data Access Layer</w:t>
            </w:r>
          </w:p>
        </w:tc>
        <w:tc>
          <w:tcPr>
            <w:tcW w:type="dxa" w:w="3408"/>
            <w:vAlign w:val="center"/>
          </w:tcPr>
          <w:p>
            <w:r>
              <w:t>Access interface design</w:t>
            </w:r>
          </w:p>
        </w:tc>
      </w:tr>
      <w:tr>
        <w:tc>
          <w:tcPr>
            <w:tcW w:type="dxa" w:w="3408"/>
            <w:vAlign w:val="center"/>
          </w:tcPr>
          <w:p>
            <w:r>
              <w:t>4.16</w:t>
            </w:r>
          </w:p>
        </w:tc>
        <w:tc>
          <w:tcPr>
            <w:tcW w:type="dxa" w:w="3408"/>
            <w:vAlign w:val="center"/>
          </w:tcPr>
          <w:p>
            <w:r>
              <w:t>Final Data Specification</w:t>
            </w:r>
          </w:p>
        </w:tc>
        <w:tc>
          <w:tcPr>
            <w:tcW w:type="dxa" w:w="3408"/>
            <w:vAlign w:val="center"/>
          </w:tcPr>
          <w:p>
            <w:r>
              <w:t>Phase 4 consolidated contract</w:t>
            </w:r>
          </w:p>
        </w:tc>
      </w:tr>
    </w:tbl>
    <w:p/>
    <w:p>
      <w:pPr>
        <w:pStyle w:val="Heading1"/>
      </w:pPr>
      <w:r>
        <w:t>2. Data Quality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D3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5112"/>
            <w:shd w:fill="D9EAD3"/>
          </w:tcPr>
          <w:p>
            <w:r>
              <w:rPr>
                <w:b/>
              </w:rPr>
              <w:t>Question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Completeness</w:t>
            </w:r>
          </w:p>
        </w:tc>
        <w:tc>
          <w:tcPr>
            <w:tcW w:type="dxa" w:w="5112"/>
            <w:vAlign w:val="center"/>
          </w:tcPr>
          <w:p>
            <w:r>
              <w:t>Are required observations and values present?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Uniqueness</w:t>
            </w:r>
          </w:p>
        </w:tc>
        <w:tc>
          <w:tcPr>
            <w:tcW w:type="dxa" w:w="5112"/>
            <w:vAlign w:val="center"/>
          </w:tcPr>
          <w:p>
            <w:r>
              <w:t>Are duplicate observations present?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Validity</w:t>
            </w:r>
          </w:p>
        </w:tc>
        <w:tc>
          <w:tcPr>
            <w:tcW w:type="dxa" w:w="5112"/>
            <w:vAlign w:val="center"/>
          </w:tcPr>
          <w:p>
            <w:r>
              <w:t>Do values satisfy expected domain rules?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Consistency</w:t>
            </w:r>
          </w:p>
        </w:tc>
        <w:tc>
          <w:tcPr>
            <w:tcW w:type="dxa" w:w="5112"/>
            <w:vAlign w:val="center"/>
          </w:tcPr>
          <w:p>
            <w:r>
              <w:t>Do datasets follow the required standards?</w:t>
            </w:r>
          </w:p>
        </w:tc>
      </w:tr>
      <w:tr>
        <w:tc>
          <w:tcPr>
            <w:tcW w:type="dxa" w:w="5112"/>
            <w:vAlign w:val="center"/>
          </w:tcPr>
          <w:p>
            <w:r>
              <w:t>Timeliness</w:t>
            </w:r>
          </w:p>
        </w:tc>
        <w:tc>
          <w:tcPr>
            <w:tcW w:type="dxa" w:w="5112"/>
            <w:vAlign w:val="center"/>
          </w:tcPr>
          <w:p>
            <w:r>
              <w:t>Was information available when assumed?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Accuracy</w:t>
            </w:r>
          </w:p>
        </w:tc>
        <w:tc>
          <w:tcPr>
            <w:tcW w:type="dxa" w:w="5112"/>
            <w:vAlign w:val="center"/>
          </w:tcPr>
          <w:p>
            <w:r>
              <w:t>Do values reasonably match the source and expected ranges?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D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5112"/>
            <w:shd w:fill="D9EAD3"/>
          </w:tcPr>
          <w:p>
            <w:r>
              <w:rPr>
                <w:b/>
              </w:rPr>
              <w:t>Pipeline 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t>CRITICAL</w:t>
            </w:r>
          </w:p>
        </w:tc>
        <w:tc>
          <w:tcPr>
            <w:tcW w:type="dxa" w:w="5112"/>
            <w:vAlign w:val="center"/>
          </w:tcPr>
          <w:p>
            <w:r>
              <w:t>Fail or stop the affected pipeline stage</w:t>
            </w:r>
          </w:p>
        </w:tc>
      </w:tr>
      <w:tr>
        <w:tc>
          <w:tcPr>
            <w:tcW w:type="dxa" w:w="5112"/>
            <w:vAlign w:val="center"/>
          </w:tcPr>
          <w:p>
            <w:r>
              <w:t>WARNING</w:t>
            </w:r>
          </w:p>
        </w:tc>
        <w:tc>
          <w:tcPr>
            <w:tcW w:type="dxa" w:w="5112"/>
            <w:vAlign w:val="center"/>
          </w:tcPr>
          <w:p>
            <w:r>
              <w:t>Continue only when policy permits; log and expose the issue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INFO</w:t>
            </w:r>
          </w:p>
        </w:tc>
        <w:tc>
          <w:tcPr>
            <w:tcW w:type="dxa" w:w="5112"/>
            <w:vAlign w:val="center"/>
          </w:tcPr>
          <w:p>
            <w:r>
              <w:t>Record for observability without blocking processing</w:t>
            </w:r>
          </w:p>
        </w:tc>
      </w:tr>
    </w:tbl>
    <w:p/>
    <w:p>
      <w:pPr>
        <w:pStyle w:val="Heading1"/>
      </w:pPr>
      <w:r>
        <w:t>3. Core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D3"/>
          </w:tcPr>
          <w:p>
            <w:r>
              <w:rPr>
                <w:b/>
              </w:rPr>
              <w:t>Dataset Type</w:t>
            </w:r>
          </w:p>
        </w:tc>
        <w:tc>
          <w:tcPr>
            <w:tcW w:type="dxa" w:w="3408"/>
            <w:shd w:fill="D9EAD3"/>
          </w:tcPr>
          <w:p>
            <w:r>
              <w:rPr>
                <w:b/>
              </w:rPr>
              <w:t>Rule</w:t>
            </w:r>
          </w:p>
        </w:tc>
        <w:tc>
          <w:tcPr>
            <w:tcW w:type="dxa" w:w="3408"/>
            <w:shd w:fill="D9EAD3"/>
          </w:tcPr>
          <w:p>
            <w:r>
              <w:rPr>
                <w:b/>
              </w:rPr>
              <w:t>Expected 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Market</w:t>
            </w:r>
          </w:p>
        </w:tc>
        <w:tc>
          <w:tcPr>
            <w:tcW w:type="dxa" w:w="3408"/>
            <w:vAlign w:val="center"/>
          </w:tcPr>
          <w:p>
            <w:r>
              <w:t>No duplicate timestamps</w:t>
            </w:r>
          </w:p>
        </w:tc>
        <w:tc>
          <w:tcPr>
            <w:tcW w:type="dxa" w:w="3408"/>
            <w:vAlign w:val="center"/>
          </w:tcPr>
          <w:p>
            <w:r>
              <w:t>Critical failure</w:t>
            </w:r>
          </w:p>
        </w:tc>
      </w:tr>
      <w:tr>
        <w:tc>
          <w:tcPr>
            <w:tcW w:type="dxa" w:w="3408"/>
            <w:vAlign w:val="center"/>
          </w:tcPr>
          <w:p>
            <w:r>
              <w:t>Market</w:t>
            </w:r>
          </w:p>
        </w:tc>
        <w:tc>
          <w:tcPr>
            <w:tcW w:type="dxa" w:w="3408"/>
            <w:vAlign w:val="center"/>
          </w:tcPr>
          <w:p>
            <w:r>
              <w:t>OHLC values are non-null</w:t>
            </w:r>
          </w:p>
        </w:tc>
        <w:tc>
          <w:tcPr>
            <w:tcW w:type="dxa" w:w="3408"/>
            <w:vAlign w:val="center"/>
          </w:tcPr>
          <w:p>
            <w:r>
              <w:t>Critical failure</w:t>
            </w:r>
          </w:p>
        </w:tc>
      </w:tr>
      <w:tr>
        <w:tc>
          <w:tcPr>
            <w:tcW w:type="dxa" w:w="3408"/>
            <w:vAlign w:val="center"/>
          </w:tcPr>
          <w:p>
            <w:r>
              <w:t>Market</w:t>
            </w:r>
          </w:p>
        </w:tc>
        <w:tc>
          <w:tcPr>
            <w:tcW w:type="dxa" w:w="3408"/>
            <w:vAlign w:val="center"/>
          </w:tcPr>
          <w:p>
            <w:r>
              <w:t>high ≥ open and close</w:t>
            </w:r>
          </w:p>
        </w:tc>
        <w:tc>
          <w:tcPr>
            <w:tcW w:type="dxa" w:w="3408"/>
            <w:vAlign w:val="center"/>
          </w:tcPr>
          <w:p>
            <w:r>
              <w:t>Critical failure</w:t>
            </w:r>
          </w:p>
        </w:tc>
      </w:tr>
      <w:tr>
        <w:tc>
          <w:tcPr>
            <w:tcW w:type="dxa" w:w="3408"/>
            <w:vAlign w:val="center"/>
          </w:tcPr>
          <w:p>
            <w:r>
              <w:t>Market</w:t>
            </w:r>
          </w:p>
        </w:tc>
        <w:tc>
          <w:tcPr>
            <w:tcW w:type="dxa" w:w="3408"/>
            <w:vAlign w:val="center"/>
          </w:tcPr>
          <w:p>
            <w:r>
              <w:t>low ≤ open and close</w:t>
            </w:r>
          </w:p>
        </w:tc>
        <w:tc>
          <w:tcPr>
            <w:tcW w:type="dxa" w:w="3408"/>
            <w:vAlign w:val="center"/>
          </w:tcPr>
          <w:p>
            <w:r>
              <w:t>Critical failure</w:t>
            </w:r>
          </w:p>
        </w:tc>
      </w:tr>
      <w:tr>
        <w:tc>
          <w:tcPr>
            <w:tcW w:type="dxa" w:w="3408"/>
            <w:vAlign w:val="center"/>
          </w:tcPr>
          <w:p>
            <w:r>
              <w:t>Market</w:t>
            </w:r>
          </w:p>
        </w:tc>
        <w:tc>
          <w:tcPr>
            <w:tcW w:type="dxa" w:w="3408"/>
            <w:vAlign w:val="center"/>
          </w:tcPr>
          <w:p>
            <w:r>
              <w:t>volume ≥ 0</w:t>
            </w:r>
          </w:p>
        </w:tc>
        <w:tc>
          <w:tcPr>
            <w:tcW w:type="dxa" w:w="3408"/>
            <w:vAlign w:val="center"/>
          </w:tcPr>
          <w:p>
            <w:r>
              <w:t>Critical failure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Indicator</w:t>
            </w:r>
          </w:p>
        </w:tc>
        <w:tc>
          <w:tcPr>
            <w:tcW w:type="dxa" w:w="3408"/>
            <w:vAlign w:val="center"/>
          </w:tcPr>
          <w:p>
            <w:r>
              <w:t>Required value and frequency present</w:t>
            </w:r>
          </w:p>
        </w:tc>
        <w:tc>
          <w:tcPr>
            <w:tcW w:type="dxa" w:w="3408"/>
            <w:vAlign w:val="center"/>
          </w:tcPr>
          <w:p>
            <w:r>
              <w:t>Critical failure</w:t>
            </w:r>
          </w:p>
        </w:tc>
      </w:tr>
      <w:tr>
        <w:tc>
          <w:tcPr>
            <w:tcW w:type="dxa" w:w="3408"/>
            <w:vAlign w:val="center"/>
          </w:tcPr>
          <w:p>
            <w:r>
              <w:t>Macro</w:t>
            </w:r>
          </w:p>
        </w:tc>
        <w:tc>
          <w:tcPr>
            <w:tcW w:type="dxa" w:w="3408"/>
            <w:vAlign w:val="center"/>
          </w:tcPr>
          <w:p>
            <w:r>
              <w:t>available_at recorded where publication delay exists</w:t>
            </w:r>
          </w:p>
        </w:tc>
        <w:tc>
          <w:tcPr>
            <w:tcW w:type="dxa" w:w="3408"/>
            <w:vAlign w:val="center"/>
          </w:tcPr>
          <w:p>
            <w:r>
              <w:t>Critical failure for point-in-time use</w:t>
            </w:r>
          </w:p>
        </w:tc>
      </w:tr>
      <w:tr>
        <w:tc>
          <w:tcPr>
            <w:tcW w:type="dxa" w:w="3408"/>
            <w:vAlign w:val="center"/>
          </w:tcPr>
          <w:p>
            <w:r>
              <w:t>All</w:t>
            </w:r>
          </w:p>
        </w:tc>
        <w:tc>
          <w:tcPr>
            <w:tcW w:type="dxa" w:w="3408"/>
            <w:vAlign w:val="center"/>
          </w:tcPr>
          <w:p>
            <w:r>
              <w:t>Dataset ID and source metadata present</w:t>
            </w:r>
          </w:p>
        </w:tc>
        <w:tc>
          <w:tcPr>
            <w:tcW w:type="dxa" w:w="3408"/>
            <w:vAlign w:val="center"/>
          </w:tcPr>
          <w:p>
            <w:r>
              <w:t>Warning or critical according to stage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All</w:t>
            </w:r>
          </w:p>
        </w:tc>
        <w:tc>
          <w:tcPr>
            <w:tcW w:type="dxa" w:w="3408"/>
            <w:vAlign w:val="center"/>
          </w:tcPr>
          <w:p>
            <w:r>
              <w:t>No invalid future timestamps</w:t>
            </w:r>
          </w:p>
        </w:tc>
        <w:tc>
          <w:tcPr>
            <w:tcW w:type="dxa" w:w="3408"/>
            <w:vAlign w:val="center"/>
          </w:tcPr>
          <w:p>
            <w:r>
              <w:t>Critical failure</w:t>
            </w:r>
          </w:p>
        </w:tc>
      </w:tr>
      <w:tr>
        <w:tc>
          <w:tcPr>
            <w:tcW w:type="dxa" w:w="3408"/>
            <w:vAlign w:val="center"/>
          </w:tcPr>
          <w:p>
            <w:r>
              <w:t>All model inputs</w:t>
            </w:r>
          </w:p>
        </w:tc>
        <w:tc>
          <w:tcPr>
            <w:tcW w:type="dxa" w:w="3408"/>
            <w:vAlign w:val="center"/>
          </w:tcPr>
          <w:p>
            <w:r>
              <w:t>available_at ≤ prediction_time</w:t>
            </w:r>
          </w:p>
        </w:tc>
        <w:tc>
          <w:tcPr>
            <w:tcW w:type="dxa" w:w="3408"/>
            <w:vAlign w:val="center"/>
          </w:tcPr>
          <w:p>
            <w:r>
              <w:t>Critical leakage failure</w:t>
            </w:r>
          </w:p>
        </w:tc>
      </w:tr>
    </w:tbl>
    <w:p/>
    <w:p>
      <w:pPr>
        <w:pStyle w:val="Heading1"/>
      </w:pPr>
      <w:r>
        <w:t>4. Validation Flow</w:t>
      </w:r>
    </w:p>
    <w:p>
      <w:r>
        <w:t>Schema Validation → Required Column Validation → Type Validation → Value Validation → Duplicate Validation → Time/Availability Validation → PASS, WARNING or FAIL</w:t>
      </w:r>
    </w:p>
    <w:p>
      <w:pPr>
        <w:pStyle w:val="Heading1"/>
      </w:pPr>
      <w:r>
        <w:t>5. Data Access Layer</w:t>
      </w:r>
    </w:p>
    <w:p>
      <w:r>
        <w:t>Downstream feature and model code should request data through a controlled interface rather than directly reading raw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D3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5112"/>
            <w:shd w:fill="D9EAD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get_dataset(dataset_id)</w:t>
            </w:r>
          </w:p>
        </w:tc>
        <w:tc>
          <w:tcPr>
            <w:tcW w:type="dxa" w:w="5112"/>
            <w:vAlign w:val="center"/>
          </w:tcPr>
          <w:p>
            <w:r>
              <w:t>Retrieve an approved dataset</w:t>
            </w:r>
          </w:p>
        </w:tc>
      </w:tr>
      <w:tr>
        <w:tc>
          <w:tcPr>
            <w:tcW w:type="dxa" w:w="5112"/>
            <w:vAlign w:val="center"/>
          </w:tcPr>
          <w:p>
            <w:r>
              <w:t>get_market_data(start_date, end_date)</w:t>
            </w:r>
          </w:p>
        </w:tc>
        <w:tc>
          <w:tcPr>
            <w:tcW w:type="dxa" w:w="5112"/>
            <w:vAlign w:val="center"/>
          </w:tcPr>
          <w:p>
            <w:r>
              <w:t>Retrieve market time-series data</w:t>
            </w:r>
          </w:p>
        </w:tc>
      </w:tr>
      <w:tr>
        <w:tc>
          <w:tcPr>
            <w:tcW w:type="dxa" w:w="5112"/>
            <w:vAlign w:val="center"/>
          </w:tcPr>
          <w:p>
            <w:r>
              <w:t>get_indicator_data(indicator_id, start_date, end_date)</w:t>
            </w:r>
          </w:p>
        </w:tc>
        <w:tc>
          <w:tcPr>
            <w:tcW w:type="dxa" w:w="5112"/>
            <w:vAlign w:val="center"/>
          </w:tcPr>
          <w:p>
            <w:r>
              <w:t>Retrieve indicator/macro data</w:t>
            </w:r>
          </w:p>
        </w:tc>
      </w:tr>
      <w:tr>
        <w:tc>
          <w:tcPr>
            <w:tcW w:type="dxa" w:w="5112"/>
            <w:vAlign w:val="center"/>
          </w:tcPr>
          <w:p>
            <w:r>
              <w:t>get_regime_dataset(as_of_date=None)</w:t>
            </w:r>
          </w:p>
        </w:tc>
        <w:tc>
          <w:tcPr>
            <w:tcW w:type="dxa" w:w="5112"/>
            <w:vAlign w:val="center"/>
          </w:tcPr>
          <w:p>
            <w:r>
              <w:t>Retrieve curated regime dataset</w:t>
            </w:r>
          </w:p>
        </w:tc>
      </w:tr>
      <w:tr>
        <w:tc>
          <w:tcPr>
            <w:tcW w:type="dxa" w:w="5112"/>
            <w:vAlign w:val="center"/>
          </w:tcPr>
          <w:p>
            <w:r>
              <w:t>get_dataset_metadata(dataset_id)</w:t>
            </w:r>
          </w:p>
        </w:tc>
        <w:tc>
          <w:tcPr>
            <w:tcW w:type="dxa" w:w="5112"/>
            <w:vAlign w:val="center"/>
          </w:tcPr>
          <w:p>
            <w:r>
              <w:t>Retrieve version and lineage metadata</w:t>
            </w:r>
          </w:p>
        </w:tc>
      </w:tr>
    </w:tbl>
    <w:p/>
    <w:p>
      <w:r>
        <w:t>Initial implementation structure: src/data/__init__.py, config.py, schemas.py and access.py. The access layer may begin as a lightweight skeleton until Phase 5 builds the physical pipeline.</w:t>
      </w:r>
    </w:p>
    <w:p>
      <w:pPr>
        <w:pStyle w:val="Heading1"/>
      </w:pPr>
      <w:r>
        <w:t>6. Final Phase 4 Data Contract</w:t>
      </w:r>
    </w:p>
    <w:p>
      <w:pPr>
        <w:pStyle w:val="ListBullet"/>
      </w:pPr>
      <w:r>
        <w:t>Data requirements define why each dataset exists.</w:t>
      </w:r>
    </w:p>
    <w:p>
      <w:pPr>
        <w:pStyle w:val="ListBullet"/>
      </w:pPr>
      <w:r>
        <w:t>Classification controls MVP scope.</w:t>
      </w:r>
    </w:p>
    <w:p>
      <w:pPr>
        <w:pStyle w:val="ListBullet"/>
      </w:pPr>
      <w:r>
        <w:t>Source mapping identifies authoritative and implementation sources.</w:t>
      </w:r>
    </w:p>
    <w:p>
      <w:pPr>
        <w:pStyle w:val="ListBullet"/>
      </w:pPr>
      <w:r>
        <w:t>Availability confirms usable historical coverage.</w:t>
      </w:r>
    </w:p>
    <w:p>
      <w:pPr>
        <w:pStyle w:val="ListBullet"/>
      </w:pPr>
      <w:r>
        <w:t>Schemas standardize raw and canonical representations.</w:t>
      </w:r>
    </w:p>
    <w:p>
      <w:pPr>
        <w:pStyle w:val="ListBullet"/>
      </w:pPr>
      <w:r>
        <w:t>Time alignment prevents look-ahead leakage.</w:t>
      </w:r>
    </w:p>
    <w:p>
      <w:pPr>
        <w:pStyle w:val="ListBullet"/>
      </w:pPr>
      <w:r>
        <w:t>Historical strategy preserves chronological validity.</w:t>
      </w:r>
    </w:p>
    <w:p>
      <w:pPr>
        <w:pStyle w:val="ListBullet"/>
      </w:pPr>
      <w:r>
        <w:t>Storage, partitioning and versioning support reproducibility.</w:t>
      </w:r>
    </w:p>
    <w:p>
      <w:pPr>
        <w:pStyle w:val="ListBullet"/>
      </w:pPr>
      <w:r>
        <w:t>Lineage traces outputs to their origin.</w:t>
      </w:r>
    </w:p>
    <w:p>
      <w:pPr>
        <w:pStyle w:val="ListBullet"/>
      </w:pPr>
      <w:r>
        <w:t>Quality and validation prevent invalid data from moving downstream.</w:t>
      </w:r>
    </w:p>
    <w:p>
      <w:pPr>
        <w:pStyle w:val="ListBullet"/>
      </w:pPr>
      <w:r>
        <w:t>The access layer isolates consumers from physical storage details.</w:t>
      </w:r>
    </w:p>
    <w:p>
      <w:pPr>
        <w:pStyle w:val="Heading1"/>
      </w:pPr>
      <w:r>
        <w:t>7. Final Architecture Summary</w:t>
      </w:r>
    </w:p>
    <w:p>
      <w:r>
        <w:t>Business / Research Requirements → Dataset Registry → Data Sources → Raw Data → Quality Validation → Processed Data → Canonical Standardization → Entity and Time Alignment → Curated Dataset → Data Access Layer → Feature Engineering and Models</w:t>
      </w:r>
    </w:p>
    <w:p>
      <w:pPr>
        <w:pStyle w:val="Heading1"/>
      </w:pPr>
      <w:r>
        <w:t>8. Definition of Done</w:t>
      </w:r>
    </w:p>
    <w:p>
      <w:pPr>
        <w:pStyle w:val="ListBullet"/>
      </w:pPr>
      <w:r>
        <w:t>Quality dimensions and severity levels are defined.</w:t>
      </w:r>
    </w:p>
    <w:p>
      <w:pPr>
        <w:pStyle w:val="ListBullet"/>
      </w:pPr>
      <w:r>
        <w:t>Validation rules have dataset-specific checks and actions.</w:t>
      </w:r>
    </w:p>
    <w:p>
      <w:pPr>
        <w:pStyle w:val="ListBullet"/>
      </w:pPr>
      <w:r>
        <w:t>Point-in-time leakage validation is mandatory for model-ready data.</w:t>
      </w:r>
    </w:p>
    <w:p>
      <w:pPr>
        <w:pStyle w:val="ListBullet"/>
      </w:pPr>
      <w:r>
        <w:t>A data access interface is specified.</w:t>
      </w:r>
    </w:p>
    <w:p>
      <w:pPr>
        <w:pStyle w:val="ListBullet"/>
      </w:pPr>
      <w:r>
        <w:t>The complete Phase 4 Data Layer is represented as one coherent contract.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