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Phase 4 Completion Report</w:t>
      </w:r>
    </w:p>
    <w:p>
      <w:pPr>
        <w:spacing w:after="40"/>
      </w:pPr>
      <w:r>
        <w:rPr>
          <w:i/>
          <w:iCs/>
          <w:color w:val="555555"/>
          <w:sz w:val="24"/>
          <w:szCs w:val="24"/>
        </w:rPr>
        <w:t xml:space="preserve">Bayesian Regime Detection Engine for Equity Direction Forecasting</w:t>
      </w:r>
    </w:p>
    <w:p>
      <w:pPr>
        <w:spacing w:after="300"/>
      </w:pPr>
      <w:r>
        <w:rPr>
          <w:color w:val="555555"/>
          <w:sz w:val="22"/>
          <w:szCs w:val="22"/>
        </w:rPr>
        <w:t xml:space="preserve">Phase 4: Data Layer  |  Status: Completed  |  Validated through unit and integration testing</w:t>
      </w:r>
    </w:p>
    <w:p>
      <w:pPr>
        <w:pStyle w:val="Heading1"/>
        <w:spacing w:after="160" w:before="360"/>
      </w:pPr>
      <w:r>
        <w:t xml:space="preserve">1. What This Phase Was About</w:t>
      </w:r>
    </w:p>
    <w:p>
      <w:pPr>
        <w:spacing w:after="160"/>
      </w:pPr>
      <w:r>
        <w:t xml:space="preserve">Phase 4 built the foundational Data Layer for the whole project — the piece that decides how market data actually gets represented once it enters the system, before any of the heavier ingestion, transformation, feature engineering, or financial analysis work begins.</w:t>
      </w:r>
    </w:p>
    <w:p>
      <w:pPr>
        <w:spacing w:after="160"/>
      </w:pPr>
      <w:r>
        <w:t xml:space="preserve">Think of it as the project's central data contract. It defines how raw market information gets validated, normalized, held in memory, and passed between the different parts of the system. Without this, every module downstream would end up solving the same basic problems independently — inconsistent field names, missing columns, invalid values — over and over.</w:t>
      </w:r>
    </w:p>
    <w:p>
      <w:pPr>
        <w:spacing w:after="160"/>
      </w:pPr>
      <w:r>
        <w:t xml:space="preserve">It was built with the later stages of the project in mind, including:</w:t>
      </w:r>
    </w:p>
    <w:p>
      <w:pPr>
        <w:pStyle w:val="ListParagraph"/>
        <w:numPr>
          <w:ilvl w:val="0"/>
          <w:numId w:val="2"/>
        </w:numPr>
        <w:spacing w:after="60"/>
      </w:pPr>
      <w:r>
        <w:t xml:space="preserve">Historical equity market data</w:t>
      </w:r>
    </w:p>
    <w:p>
      <w:pPr>
        <w:pStyle w:val="ListParagraph"/>
        <w:numPr>
          <w:ilvl w:val="0"/>
          <w:numId w:val="2"/>
        </w:numPr>
        <w:spacing w:after="60"/>
      </w:pPr>
      <w:r>
        <w:t xml:space="preserve">OHLCV price information</w:t>
      </w:r>
    </w:p>
    <w:p>
      <w:pPr>
        <w:pStyle w:val="ListParagraph"/>
        <w:numPr>
          <w:ilvl w:val="0"/>
          <w:numId w:val="2"/>
        </w:numPr>
        <w:spacing w:after="60"/>
      </w:pPr>
      <w:r>
        <w:t xml:space="preserve">Market index data</w:t>
      </w:r>
    </w:p>
    <w:p>
      <w:pPr>
        <w:pStyle w:val="ListParagraph"/>
        <w:numPr>
          <w:ilvl w:val="0"/>
          <w:numId w:val="2"/>
        </w:numPr>
        <w:spacing w:after="60"/>
      </w:pPr>
      <w:r>
        <w:t xml:space="preserve">Volatility indicators</w:t>
      </w:r>
    </w:p>
    <w:p>
      <w:pPr>
        <w:pStyle w:val="ListParagraph"/>
        <w:numPr>
          <w:ilvl w:val="0"/>
          <w:numId w:val="2"/>
        </w:numPr>
        <w:spacing w:after="60"/>
      </w:pPr>
      <w:r>
        <w:t xml:space="preserve">Macroeconomic variables</w:t>
      </w:r>
    </w:p>
    <w:p>
      <w:pPr>
        <w:pStyle w:val="ListParagraph"/>
        <w:numPr>
          <w:ilvl w:val="0"/>
          <w:numId w:val="2"/>
        </w:numPr>
        <w:spacing w:after="60"/>
      </w:pPr>
      <w:r>
        <w:t xml:space="preserve">Cross-asset information</w:t>
      </w:r>
    </w:p>
    <w:p>
      <w:pPr>
        <w:pStyle w:val="ListParagraph"/>
        <w:numPr>
          <w:ilvl w:val="0"/>
          <w:numId w:val="2"/>
        </w:numPr>
        <w:spacing w:after="60"/>
      </w:pPr>
      <w:r>
        <w:t xml:space="preserve">Time-series processing</w:t>
      </w:r>
    </w:p>
    <w:p>
      <w:pPr>
        <w:pStyle w:val="ListParagraph"/>
        <w:numPr>
          <w:ilvl w:val="0"/>
          <w:numId w:val="2"/>
        </w:numPr>
        <w:spacing w:after="60"/>
      </w:pPr>
      <w:r>
        <w:t xml:space="preserve">Feature engineering</w:t>
      </w:r>
    </w:p>
    <w:p>
      <w:pPr>
        <w:pStyle w:val="ListParagraph"/>
        <w:numPr>
          <w:ilvl w:val="0"/>
          <w:numId w:val="2"/>
        </w:numPr>
        <w:spacing w:after="60"/>
      </w:pPr>
      <w:r>
        <w:t xml:space="preserve">Financial analysis</w:t>
      </w:r>
    </w:p>
    <w:p>
      <w:pPr>
        <w:pStyle w:val="ListParagraph"/>
        <w:numPr>
          <w:ilvl w:val="0"/>
          <w:numId w:val="2"/>
        </w:numPr>
        <w:spacing w:after="60"/>
      </w:pPr>
      <w:r>
        <w:t xml:space="preserve">Regime detection models</w:t>
      </w:r>
    </w:p>
    <w:p>
      <w:pPr>
        <w:pStyle w:val="ListParagraph"/>
        <w:numPr>
          <w:ilvl w:val="0"/>
          <w:numId w:val="2"/>
        </w:numPr>
        <w:spacing w:after="60"/>
      </w:pPr>
      <w:r>
        <w:t xml:space="preserve">Bayesian uncertainty estimation</w:t>
      </w:r>
    </w:p>
    <w:p>
      <w:pPr>
        <w:spacing w:after="160"/>
      </w:pPr>
      <w:r>
        <w:t xml:space="preserve">Rather than letting each module handle raw dictionaries however it likes, Phase 4 gives the whole project a shared, structured foundation to build on.</w:t>
      </w:r>
    </w:p>
    <w:p>
      <w:pPr>
        <w:pStyle w:val="Heading1"/>
        <w:spacing w:after="160" w:before="360"/>
      </w:pPr>
      <w:r>
        <w:t xml:space="preserve">2. Objectives</w:t>
      </w:r>
    </w:p>
    <w:p>
      <w:pPr>
        <w:pStyle w:val="ListParagraph"/>
        <w:numPr>
          <w:ilvl w:val="0"/>
          <w:numId w:val="2"/>
        </w:numPr>
        <w:spacing w:after="60"/>
      </w:pPr>
      <w:r>
        <w:t xml:space="preserve">Define a consistent internal representation for market data.</w:t>
      </w:r>
    </w:p>
    <w:p>
      <w:pPr>
        <w:pStyle w:val="ListParagraph"/>
        <w:numPr>
          <w:ilvl w:val="0"/>
          <w:numId w:val="2"/>
        </w:numPr>
        <w:spacing w:after="60"/>
      </w:pPr>
      <w:r>
        <w:t xml:space="preserve">Create validated schemas for incoming records.</w:t>
      </w:r>
    </w:p>
    <w:p>
      <w:pPr>
        <w:pStyle w:val="ListParagraph"/>
        <w:numPr>
          <w:ilvl w:val="0"/>
          <w:numId w:val="2"/>
        </w:numPr>
        <w:spacing w:after="60"/>
      </w:pPr>
      <w:r>
        <w:t xml:space="preserve">Support OHLCV and related market data structures.</w:t>
      </w:r>
    </w:p>
    <w:p>
      <w:pPr>
        <w:pStyle w:val="ListParagraph"/>
        <w:numPr>
          <w:ilvl w:val="0"/>
          <w:numId w:val="2"/>
        </w:numPr>
        <w:spacing w:after="60"/>
      </w:pPr>
      <w:r>
        <w:t xml:space="preserve">Establish clear data contracts between project layers.</w:t>
      </w:r>
    </w:p>
    <w:p>
      <w:pPr>
        <w:pStyle w:val="ListParagraph"/>
        <w:numPr>
          <w:ilvl w:val="0"/>
          <w:numId w:val="2"/>
        </w:numPr>
        <w:spacing w:after="60"/>
      </w:pPr>
      <w:r>
        <w:t xml:space="preserve">Normalize and validate input values.</w:t>
      </w:r>
    </w:p>
    <w:p>
      <w:pPr>
        <w:pStyle w:val="ListParagraph"/>
        <w:numPr>
          <w:ilvl w:val="0"/>
          <w:numId w:val="2"/>
        </w:numPr>
        <w:spacing w:after="60"/>
      </w:pPr>
      <w:r>
        <w:t xml:space="preserve">Handle missing and optional data safely.</w:t>
      </w:r>
    </w:p>
    <w:p>
      <w:pPr>
        <w:pStyle w:val="ListParagraph"/>
        <w:numPr>
          <w:ilvl w:val="0"/>
          <w:numId w:val="2"/>
        </w:numPr>
        <w:spacing w:after="60"/>
      </w:pPr>
      <w:r>
        <w:t xml:space="preserve">Preserve chronological and structural consistency.</w:t>
      </w:r>
    </w:p>
    <w:p>
      <w:pPr>
        <w:pStyle w:val="ListParagraph"/>
        <w:numPr>
          <w:ilvl w:val="0"/>
          <w:numId w:val="2"/>
        </w:numPr>
        <w:spacing w:after="60"/>
      </w:pPr>
      <w:r>
        <w:t xml:space="preserve">Build reusable abstractions for downstream modules.</w:t>
      </w:r>
    </w:p>
    <w:p>
      <w:pPr>
        <w:pStyle w:val="ListParagraph"/>
        <w:numPr>
          <w:ilvl w:val="0"/>
          <w:numId w:val="2"/>
        </w:numPr>
        <w:spacing w:after="60"/>
      </w:pPr>
      <w:r>
        <w:t xml:space="preserve">Write comprehensive unit tests.</w:t>
      </w:r>
    </w:p>
    <w:p>
      <w:pPr>
        <w:pStyle w:val="ListParagraph"/>
        <w:numPr>
          <w:ilvl w:val="0"/>
          <w:numId w:val="2"/>
        </w:numPr>
        <w:spacing w:after="60"/>
      </w:pPr>
      <w:r>
        <w:t xml:space="preserve">Get the Data Layer genuinely ready for Phase 5 Data Engineering.</w:t>
      </w:r>
    </w:p>
    <w:p>
      <w:pPr>
        <w:pStyle w:val="Heading1"/>
        <w:spacing w:after="160" w:before="360"/>
      </w:pPr>
      <w:r>
        <w:t xml:space="preserve">3. How the Phase Was Broken Down</w:t>
      </w:r>
    </w:p>
    <w:p>
      <w:pPr>
        <w:spacing w:after="160"/>
      </w:pPr>
      <w:r>
        <w:t xml:space="preserve">Phase 4 was built incrementally, area by area: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000"/>
      </w:tblGrid>
      <w:tr>
        <w:tc>
          <w:tcPr>
            <w:tcW w:type="dxa" w:w="1500"/>
            <w:shd w:fill="1F4E5C" w:val="clear"/>
            <w:tcMar>
              <w:top w:type="dxa" w:w="100"/>
              <w:left w:type="dxa" w:w="120"/>
              <w:bottom w:type="dxa" w:w="100"/>
              <w:right w:type="dxa" w:w="120"/>
            </w:tcMar>
          </w:tcPr>
          <w:p>
            <w:pPr>
              <w:jc w:val="center"/>
            </w:pPr>
            <w:r>
              <w:rPr>
                <w:b/>
                <w:bCs/>
                <w:color w:val="FFFFFF"/>
              </w:rPr>
              <w:t xml:space="preserve">Subphase</w:t>
            </w:r>
          </w:p>
        </w:tc>
        <w:tc>
          <w:tcPr>
            <w:tcW w:type="dxa" w:w="5500"/>
            <w:shd w:fill="1F4E5C" w:val="clear"/>
            <w:tcMar>
              <w:top w:type="dxa" w:w="100"/>
              <w:left w:type="dxa" w:w="120"/>
              <w:bottom w:type="dxa" w:w="100"/>
              <w:right w:type="dxa" w:w="120"/>
            </w:tcMar>
          </w:tcPr>
          <w:p>
            <w:pPr>
              <w:jc w:val="left"/>
            </w:pPr>
            <w:r>
              <w:rPr>
                <w:b/>
                <w:bCs/>
                <w:color w:val="FFFFFF"/>
              </w:rPr>
              <w:t xml:space="preserve">Area</w:t>
            </w:r>
          </w:p>
        </w:tc>
        <w:tc>
          <w:tcPr>
            <w:tcW w:type="dxa" w:w="2000"/>
            <w:shd w:fill="1F4E5C" w:val="clear"/>
            <w:tcMar>
              <w:top w:type="dxa" w:w="100"/>
              <w:left w:type="dxa" w:w="120"/>
              <w:bottom w:type="dxa" w:w="100"/>
              <w:right w:type="dxa" w:w="120"/>
            </w:tcMar>
          </w:tcPr>
          <w:p>
            <w:pPr>
              <w:jc w:val="center"/>
            </w:pPr>
            <w:r>
              <w:rPr>
                <w:b/>
                <w:bCs/>
                <w:color w:val="FFFFFF"/>
              </w:rPr>
              <w:t xml:space="preserve">Status</w:t>
            </w:r>
          </w:p>
        </w:tc>
      </w:tr>
      <w:tr>
        <w:tc>
          <w:tcPr>
            <w:tcW w:type="dxa" w:w="1500"/>
            <w:tcMar>
              <w:top w:type="dxa" w:w="100"/>
              <w:left w:type="dxa" w:w="120"/>
              <w:bottom w:type="dxa" w:w="100"/>
              <w:right w:type="dxa" w:w="120"/>
            </w:tcMar>
          </w:tcPr>
          <w:p>
            <w:pPr>
              <w:jc w:val="center"/>
            </w:pPr>
            <w:r>
              <w:rPr>
                <w:b w:val="false"/>
                <w:bCs w:val="false"/>
                <w:color w:val="000000"/>
              </w:rPr>
              <w:t xml:space="preserve">4.1</w:t>
            </w:r>
          </w:p>
        </w:tc>
        <w:tc>
          <w:tcPr>
            <w:tcW w:type="dxa" w:w="5500"/>
            <w:tcMar>
              <w:top w:type="dxa" w:w="100"/>
              <w:left w:type="dxa" w:w="120"/>
              <w:bottom w:type="dxa" w:w="100"/>
              <w:right w:type="dxa" w:w="120"/>
            </w:tcMar>
          </w:tcPr>
          <w:p>
            <w:pPr>
              <w:jc w:val="left"/>
            </w:pPr>
            <w:r>
              <w:rPr>
                <w:b w:val="false"/>
                <w:bCs w:val="false"/>
                <w:color w:val="000000"/>
              </w:rPr>
              <w:t xml:space="preserve">Data Layer Architecture</w:t>
            </w:r>
          </w:p>
        </w:tc>
        <w:tc>
          <w:tcPr>
            <w:tcW w:type="dxa" w:w="2000"/>
            <w:tcMar>
              <w:top w:type="dxa" w:w="100"/>
              <w:left w:type="dxa" w:w="120"/>
              <w:bottom w:type="dxa" w:w="100"/>
              <w:right w:type="dxa" w:w="120"/>
            </w:tcMar>
          </w:tcPr>
          <w:p>
            <w:pPr>
              <w:jc w:val="center"/>
            </w:pPr>
            <w:r>
              <w:rPr>
                <w:b w:val="false"/>
                <w:bCs w:val="false"/>
                <w:color w:val="000000"/>
              </w:rPr>
              <w:t xml:space="preserve">Completed</w:t>
            </w:r>
          </w:p>
        </w:tc>
      </w:tr>
      <w:tr>
        <w:tc>
          <w:tcPr>
            <w:tcW w:type="dxa" w:w="1500"/>
            <w:tcMar>
              <w:top w:type="dxa" w:w="100"/>
              <w:left w:type="dxa" w:w="120"/>
              <w:bottom w:type="dxa" w:w="100"/>
              <w:right w:type="dxa" w:w="120"/>
            </w:tcMar>
          </w:tcPr>
          <w:p>
            <w:pPr>
              <w:jc w:val="center"/>
            </w:pPr>
            <w:r>
              <w:rPr>
                <w:b w:val="false"/>
                <w:bCs w:val="false"/>
                <w:color w:val="000000"/>
              </w:rPr>
              <w:t xml:space="preserve">4.2</w:t>
            </w:r>
          </w:p>
        </w:tc>
        <w:tc>
          <w:tcPr>
            <w:tcW w:type="dxa" w:w="5500"/>
            <w:tcMar>
              <w:top w:type="dxa" w:w="100"/>
              <w:left w:type="dxa" w:w="120"/>
              <w:bottom w:type="dxa" w:w="100"/>
              <w:right w:type="dxa" w:w="120"/>
            </w:tcMar>
          </w:tcPr>
          <w:p>
            <w:pPr>
              <w:jc w:val="left"/>
            </w:pPr>
            <w:r>
              <w:rPr>
                <w:b w:val="false"/>
                <w:bCs w:val="false"/>
                <w:color w:val="000000"/>
              </w:rPr>
              <w:t xml:space="preserve">Core Data Models</w:t>
            </w:r>
          </w:p>
        </w:tc>
        <w:tc>
          <w:tcPr>
            <w:tcW w:type="dxa" w:w="2000"/>
            <w:tcMar>
              <w:top w:type="dxa" w:w="100"/>
              <w:left w:type="dxa" w:w="120"/>
              <w:bottom w:type="dxa" w:w="100"/>
              <w:right w:type="dxa" w:w="120"/>
            </w:tcMar>
          </w:tcPr>
          <w:p>
            <w:pPr>
              <w:jc w:val="center"/>
            </w:pPr>
            <w:r>
              <w:rPr>
                <w:b w:val="false"/>
                <w:bCs w:val="false"/>
                <w:color w:val="000000"/>
              </w:rPr>
              <w:t xml:space="preserve">Completed</w:t>
            </w:r>
          </w:p>
        </w:tc>
      </w:tr>
      <w:tr>
        <w:tc>
          <w:tcPr>
            <w:tcW w:type="dxa" w:w="1500"/>
            <w:tcMar>
              <w:top w:type="dxa" w:w="100"/>
              <w:left w:type="dxa" w:w="120"/>
              <w:bottom w:type="dxa" w:w="100"/>
              <w:right w:type="dxa" w:w="120"/>
            </w:tcMar>
          </w:tcPr>
          <w:p>
            <w:pPr>
              <w:jc w:val="center"/>
            </w:pPr>
            <w:r>
              <w:rPr>
                <w:b w:val="false"/>
                <w:bCs w:val="false"/>
                <w:color w:val="000000"/>
              </w:rPr>
              <w:t xml:space="preserve">4.3</w:t>
            </w:r>
          </w:p>
        </w:tc>
        <w:tc>
          <w:tcPr>
            <w:tcW w:type="dxa" w:w="5500"/>
            <w:tcMar>
              <w:top w:type="dxa" w:w="100"/>
              <w:left w:type="dxa" w:w="120"/>
              <w:bottom w:type="dxa" w:w="100"/>
              <w:right w:type="dxa" w:w="120"/>
            </w:tcMar>
          </w:tcPr>
          <w:p>
            <w:pPr>
              <w:jc w:val="left"/>
            </w:pPr>
            <w:r>
              <w:rPr>
                <w:b w:val="false"/>
                <w:bCs w:val="false"/>
                <w:color w:val="000000"/>
              </w:rPr>
              <w:t xml:space="preserve">Market Data Schemas</w:t>
            </w:r>
          </w:p>
        </w:tc>
        <w:tc>
          <w:tcPr>
            <w:tcW w:type="dxa" w:w="2000"/>
            <w:tcMar>
              <w:top w:type="dxa" w:w="100"/>
              <w:left w:type="dxa" w:w="120"/>
              <w:bottom w:type="dxa" w:w="100"/>
              <w:right w:type="dxa" w:w="120"/>
            </w:tcMar>
          </w:tcPr>
          <w:p>
            <w:pPr>
              <w:jc w:val="center"/>
            </w:pPr>
            <w:r>
              <w:rPr>
                <w:b w:val="false"/>
                <w:bCs w:val="false"/>
                <w:color w:val="000000"/>
              </w:rPr>
              <w:t xml:space="preserve">Completed</w:t>
            </w:r>
          </w:p>
        </w:tc>
      </w:tr>
      <w:tr>
        <w:tc>
          <w:tcPr>
            <w:tcW w:type="dxa" w:w="1500"/>
            <w:tcMar>
              <w:top w:type="dxa" w:w="100"/>
              <w:left w:type="dxa" w:w="120"/>
              <w:bottom w:type="dxa" w:w="100"/>
              <w:right w:type="dxa" w:w="120"/>
            </w:tcMar>
          </w:tcPr>
          <w:p>
            <w:pPr>
              <w:jc w:val="center"/>
            </w:pPr>
            <w:r>
              <w:rPr>
                <w:b w:val="false"/>
                <w:bCs w:val="false"/>
                <w:color w:val="000000"/>
              </w:rPr>
              <w:t xml:space="preserve">4.4</w:t>
            </w:r>
          </w:p>
        </w:tc>
        <w:tc>
          <w:tcPr>
            <w:tcW w:type="dxa" w:w="5500"/>
            <w:tcMar>
              <w:top w:type="dxa" w:w="100"/>
              <w:left w:type="dxa" w:w="120"/>
              <w:bottom w:type="dxa" w:w="100"/>
              <w:right w:type="dxa" w:w="120"/>
            </w:tcMar>
          </w:tcPr>
          <w:p>
            <w:pPr>
              <w:jc w:val="left"/>
            </w:pPr>
            <w:r>
              <w:rPr>
                <w:b w:val="false"/>
                <w:bCs w:val="false"/>
                <w:color w:val="000000"/>
              </w:rPr>
              <w:t xml:space="preserve">Validation and Normalization</w:t>
            </w:r>
          </w:p>
        </w:tc>
        <w:tc>
          <w:tcPr>
            <w:tcW w:type="dxa" w:w="2000"/>
            <w:tcMar>
              <w:top w:type="dxa" w:w="100"/>
              <w:left w:type="dxa" w:w="120"/>
              <w:bottom w:type="dxa" w:w="100"/>
              <w:right w:type="dxa" w:w="120"/>
            </w:tcMar>
          </w:tcPr>
          <w:p>
            <w:pPr>
              <w:jc w:val="center"/>
            </w:pPr>
            <w:r>
              <w:rPr>
                <w:b w:val="false"/>
                <w:bCs w:val="false"/>
                <w:color w:val="000000"/>
              </w:rPr>
              <w:t xml:space="preserve">Completed</w:t>
            </w:r>
          </w:p>
        </w:tc>
      </w:tr>
      <w:tr>
        <w:tc>
          <w:tcPr>
            <w:tcW w:type="dxa" w:w="1500"/>
            <w:tcMar>
              <w:top w:type="dxa" w:w="100"/>
              <w:left w:type="dxa" w:w="120"/>
              <w:bottom w:type="dxa" w:w="100"/>
              <w:right w:type="dxa" w:w="120"/>
            </w:tcMar>
          </w:tcPr>
          <w:p>
            <w:pPr>
              <w:jc w:val="center"/>
            </w:pPr>
            <w:r>
              <w:rPr>
                <w:b w:val="false"/>
                <w:bCs w:val="false"/>
                <w:color w:val="000000"/>
              </w:rPr>
              <w:t xml:space="preserve">4.5</w:t>
            </w:r>
          </w:p>
        </w:tc>
        <w:tc>
          <w:tcPr>
            <w:tcW w:type="dxa" w:w="5500"/>
            <w:tcMar>
              <w:top w:type="dxa" w:w="100"/>
              <w:left w:type="dxa" w:w="120"/>
              <w:bottom w:type="dxa" w:w="100"/>
              <w:right w:type="dxa" w:w="120"/>
            </w:tcMar>
          </w:tcPr>
          <w:p>
            <w:pPr>
              <w:jc w:val="left"/>
            </w:pPr>
            <w:r>
              <w:rPr>
                <w:b w:val="false"/>
                <w:bCs w:val="false"/>
                <w:color w:val="000000"/>
              </w:rPr>
              <w:t xml:space="preserve">Missing Data Handling</w:t>
            </w:r>
          </w:p>
        </w:tc>
        <w:tc>
          <w:tcPr>
            <w:tcW w:type="dxa" w:w="2000"/>
            <w:tcMar>
              <w:top w:type="dxa" w:w="100"/>
              <w:left w:type="dxa" w:w="120"/>
              <w:bottom w:type="dxa" w:w="100"/>
              <w:right w:type="dxa" w:w="120"/>
            </w:tcMar>
          </w:tcPr>
          <w:p>
            <w:pPr>
              <w:jc w:val="center"/>
            </w:pPr>
            <w:r>
              <w:rPr>
                <w:b w:val="false"/>
                <w:bCs w:val="false"/>
                <w:color w:val="000000"/>
              </w:rPr>
              <w:t xml:space="preserve">Completed</w:t>
            </w:r>
          </w:p>
        </w:tc>
      </w:tr>
      <w:tr>
        <w:tc>
          <w:tcPr>
            <w:tcW w:type="dxa" w:w="1500"/>
            <w:tcMar>
              <w:top w:type="dxa" w:w="100"/>
              <w:left w:type="dxa" w:w="120"/>
              <w:bottom w:type="dxa" w:w="100"/>
              <w:right w:type="dxa" w:w="120"/>
            </w:tcMar>
          </w:tcPr>
          <w:p>
            <w:pPr>
              <w:jc w:val="center"/>
            </w:pPr>
            <w:r>
              <w:rPr>
                <w:b w:val="false"/>
                <w:bCs w:val="false"/>
                <w:color w:val="000000"/>
              </w:rPr>
              <w:t xml:space="preserve">4.6</w:t>
            </w:r>
          </w:p>
        </w:tc>
        <w:tc>
          <w:tcPr>
            <w:tcW w:type="dxa" w:w="5500"/>
            <w:tcMar>
              <w:top w:type="dxa" w:w="100"/>
              <w:left w:type="dxa" w:w="120"/>
              <w:bottom w:type="dxa" w:w="100"/>
              <w:right w:type="dxa" w:w="120"/>
            </w:tcMar>
          </w:tcPr>
          <w:p>
            <w:pPr>
              <w:jc w:val="left"/>
            </w:pPr>
            <w:r>
              <w:rPr>
                <w:b w:val="false"/>
                <w:bCs w:val="false"/>
                <w:color w:val="000000"/>
              </w:rPr>
              <w:t xml:space="preserve">Data Contract Definitions</w:t>
            </w:r>
          </w:p>
        </w:tc>
        <w:tc>
          <w:tcPr>
            <w:tcW w:type="dxa" w:w="2000"/>
            <w:tcMar>
              <w:top w:type="dxa" w:w="100"/>
              <w:left w:type="dxa" w:w="120"/>
              <w:bottom w:type="dxa" w:w="100"/>
              <w:right w:type="dxa" w:w="120"/>
            </w:tcMar>
          </w:tcPr>
          <w:p>
            <w:pPr>
              <w:jc w:val="center"/>
            </w:pPr>
            <w:r>
              <w:rPr>
                <w:b w:val="false"/>
                <w:bCs w:val="false"/>
                <w:color w:val="000000"/>
              </w:rPr>
              <w:t xml:space="preserve">Completed</w:t>
            </w:r>
          </w:p>
        </w:tc>
      </w:tr>
      <w:tr>
        <w:tc>
          <w:tcPr>
            <w:tcW w:type="dxa" w:w="1500"/>
            <w:tcMar>
              <w:top w:type="dxa" w:w="100"/>
              <w:left w:type="dxa" w:w="120"/>
              <w:bottom w:type="dxa" w:w="100"/>
              <w:right w:type="dxa" w:w="120"/>
            </w:tcMar>
          </w:tcPr>
          <w:p>
            <w:pPr>
              <w:jc w:val="center"/>
            </w:pPr>
            <w:r>
              <w:rPr>
                <w:b w:val="false"/>
                <w:bCs w:val="false"/>
                <w:color w:val="000000"/>
              </w:rPr>
              <w:t xml:space="preserve">4.7</w:t>
            </w:r>
          </w:p>
        </w:tc>
        <w:tc>
          <w:tcPr>
            <w:tcW w:type="dxa" w:w="5500"/>
            <w:tcMar>
              <w:top w:type="dxa" w:w="100"/>
              <w:left w:type="dxa" w:w="120"/>
              <w:bottom w:type="dxa" w:w="100"/>
              <w:right w:type="dxa" w:w="120"/>
            </w:tcMar>
          </w:tcPr>
          <w:p>
            <w:pPr>
              <w:jc w:val="left"/>
            </w:pPr>
            <w:r>
              <w:rPr>
                <w:b w:val="false"/>
                <w:bCs w:val="false"/>
                <w:color w:val="000000"/>
              </w:rPr>
              <w:t xml:space="preserve">Dataset Abstractions</w:t>
            </w:r>
          </w:p>
        </w:tc>
        <w:tc>
          <w:tcPr>
            <w:tcW w:type="dxa" w:w="2000"/>
            <w:tcMar>
              <w:top w:type="dxa" w:w="100"/>
              <w:left w:type="dxa" w:w="120"/>
              <w:bottom w:type="dxa" w:w="100"/>
              <w:right w:type="dxa" w:w="120"/>
            </w:tcMar>
          </w:tcPr>
          <w:p>
            <w:pPr>
              <w:jc w:val="center"/>
            </w:pPr>
            <w:r>
              <w:rPr>
                <w:b w:val="false"/>
                <w:bCs w:val="false"/>
                <w:color w:val="000000"/>
              </w:rPr>
              <w:t xml:space="preserve">Completed</w:t>
            </w:r>
          </w:p>
        </w:tc>
      </w:tr>
      <w:tr>
        <w:tc>
          <w:tcPr>
            <w:tcW w:type="dxa" w:w="1500"/>
            <w:tcMar>
              <w:top w:type="dxa" w:w="100"/>
              <w:left w:type="dxa" w:w="120"/>
              <w:bottom w:type="dxa" w:w="100"/>
              <w:right w:type="dxa" w:w="120"/>
            </w:tcMar>
          </w:tcPr>
          <w:p>
            <w:pPr>
              <w:jc w:val="center"/>
            </w:pPr>
            <w:r>
              <w:rPr>
                <w:b w:val="false"/>
                <w:bCs w:val="false"/>
                <w:color w:val="000000"/>
              </w:rPr>
              <w:t xml:space="preserve">4.8</w:t>
            </w:r>
          </w:p>
        </w:tc>
        <w:tc>
          <w:tcPr>
            <w:tcW w:type="dxa" w:w="5500"/>
            <w:tcMar>
              <w:top w:type="dxa" w:w="100"/>
              <w:left w:type="dxa" w:w="120"/>
              <w:bottom w:type="dxa" w:w="100"/>
              <w:right w:type="dxa" w:w="120"/>
            </w:tcMar>
          </w:tcPr>
          <w:p>
            <w:pPr>
              <w:jc w:val="left"/>
            </w:pPr>
            <w:r>
              <w:rPr>
                <w:b w:val="false"/>
                <w:bCs w:val="false"/>
                <w:color w:val="000000"/>
              </w:rPr>
              <w:t xml:space="preserve">Repository and Access Foundations</w:t>
            </w:r>
          </w:p>
        </w:tc>
        <w:tc>
          <w:tcPr>
            <w:tcW w:type="dxa" w:w="2000"/>
            <w:tcMar>
              <w:top w:type="dxa" w:w="100"/>
              <w:left w:type="dxa" w:w="120"/>
              <w:bottom w:type="dxa" w:w="100"/>
              <w:right w:type="dxa" w:w="120"/>
            </w:tcMar>
          </w:tcPr>
          <w:p>
            <w:pPr>
              <w:jc w:val="center"/>
            </w:pPr>
            <w:r>
              <w:rPr>
                <w:b w:val="false"/>
                <w:bCs w:val="false"/>
                <w:color w:val="000000"/>
              </w:rPr>
              <w:t xml:space="preserve">Completed</w:t>
            </w:r>
          </w:p>
        </w:tc>
      </w:tr>
      <w:tr>
        <w:tc>
          <w:tcPr>
            <w:tcW w:type="dxa" w:w="1500"/>
            <w:tcMar>
              <w:top w:type="dxa" w:w="100"/>
              <w:left w:type="dxa" w:w="120"/>
              <w:bottom w:type="dxa" w:w="100"/>
              <w:right w:type="dxa" w:w="120"/>
            </w:tcMar>
          </w:tcPr>
          <w:p>
            <w:pPr>
              <w:jc w:val="center"/>
            </w:pPr>
            <w:r>
              <w:rPr>
                <w:b w:val="false"/>
                <w:bCs w:val="false"/>
                <w:color w:val="000000"/>
              </w:rPr>
              <w:t xml:space="preserve">4.9</w:t>
            </w:r>
          </w:p>
        </w:tc>
        <w:tc>
          <w:tcPr>
            <w:tcW w:type="dxa" w:w="5500"/>
            <w:tcMar>
              <w:top w:type="dxa" w:w="100"/>
              <w:left w:type="dxa" w:w="120"/>
              <w:bottom w:type="dxa" w:w="100"/>
              <w:right w:type="dxa" w:w="120"/>
            </w:tcMar>
          </w:tcPr>
          <w:p>
            <w:pPr>
              <w:jc w:val="left"/>
            </w:pPr>
            <w:r>
              <w:rPr>
                <w:b w:val="false"/>
                <w:bCs w:val="false"/>
                <w:color w:val="000000"/>
              </w:rPr>
              <w:t xml:space="preserve">Data Consistency Logic</w:t>
            </w:r>
          </w:p>
        </w:tc>
        <w:tc>
          <w:tcPr>
            <w:tcW w:type="dxa" w:w="2000"/>
            <w:tcMar>
              <w:top w:type="dxa" w:w="100"/>
              <w:left w:type="dxa" w:w="120"/>
              <w:bottom w:type="dxa" w:w="100"/>
              <w:right w:type="dxa" w:w="120"/>
            </w:tcMar>
          </w:tcPr>
          <w:p>
            <w:pPr>
              <w:jc w:val="center"/>
            </w:pPr>
            <w:r>
              <w:rPr>
                <w:b w:val="false"/>
                <w:bCs w:val="false"/>
                <w:color w:val="000000"/>
              </w:rPr>
              <w:t xml:space="preserve">Completed</w:t>
            </w:r>
          </w:p>
        </w:tc>
      </w:tr>
      <w:tr>
        <w:tc>
          <w:tcPr>
            <w:tcW w:type="dxa" w:w="1500"/>
            <w:tcMar>
              <w:top w:type="dxa" w:w="100"/>
              <w:left w:type="dxa" w:w="120"/>
              <w:bottom w:type="dxa" w:w="100"/>
              <w:right w:type="dxa" w:w="120"/>
            </w:tcMar>
          </w:tcPr>
          <w:p>
            <w:pPr>
              <w:jc w:val="center"/>
            </w:pPr>
            <w:r>
              <w:rPr>
                <w:b w:val="false"/>
                <w:bCs w:val="false"/>
                <w:color w:val="000000"/>
              </w:rPr>
              <w:t xml:space="preserve">4.10</w:t>
            </w:r>
          </w:p>
        </w:tc>
        <w:tc>
          <w:tcPr>
            <w:tcW w:type="dxa" w:w="5500"/>
            <w:tcMar>
              <w:top w:type="dxa" w:w="100"/>
              <w:left w:type="dxa" w:w="120"/>
              <w:bottom w:type="dxa" w:w="100"/>
              <w:right w:type="dxa" w:w="120"/>
            </w:tcMar>
          </w:tcPr>
          <w:p>
            <w:pPr>
              <w:jc w:val="left"/>
            </w:pPr>
            <w:r>
              <w:rPr>
                <w:b w:val="false"/>
                <w:bCs w:val="false"/>
                <w:color w:val="000000"/>
              </w:rPr>
              <w:t xml:space="preserve">Error Handling</w:t>
            </w:r>
          </w:p>
        </w:tc>
        <w:tc>
          <w:tcPr>
            <w:tcW w:type="dxa" w:w="2000"/>
            <w:tcMar>
              <w:top w:type="dxa" w:w="100"/>
              <w:left w:type="dxa" w:w="120"/>
              <w:bottom w:type="dxa" w:w="100"/>
              <w:right w:type="dxa" w:w="120"/>
            </w:tcMar>
          </w:tcPr>
          <w:p>
            <w:pPr>
              <w:jc w:val="center"/>
            </w:pPr>
            <w:r>
              <w:rPr>
                <w:b w:val="false"/>
                <w:bCs w:val="false"/>
                <w:color w:val="000000"/>
              </w:rPr>
              <w:t xml:space="preserve">Completed</w:t>
            </w:r>
          </w:p>
        </w:tc>
      </w:tr>
      <w:tr>
        <w:tc>
          <w:tcPr>
            <w:tcW w:type="dxa" w:w="1500"/>
            <w:tcMar>
              <w:top w:type="dxa" w:w="100"/>
              <w:left w:type="dxa" w:w="120"/>
              <w:bottom w:type="dxa" w:w="100"/>
              <w:right w:type="dxa" w:w="120"/>
            </w:tcMar>
          </w:tcPr>
          <w:p>
            <w:pPr>
              <w:jc w:val="center"/>
            </w:pPr>
            <w:r>
              <w:rPr>
                <w:b w:val="false"/>
                <w:bCs w:val="false"/>
                <w:color w:val="000000"/>
              </w:rPr>
              <w:t xml:space="preserve">4.11</w:t>
            </w:r>
          </w:p>
        </w:tc>
        <w:tc>
          <w:tcPr>
            <w:tcW w:type="dxa" w:w="5500"/>
            <w:tcMar>
              <w:top w:type="dxa" w:w="100"/>
              <w:left w:type="dxa" w:w="120"/>
              <w:bottom w:type="dxa" w:w="100"/>
              <w:right w:type="dxa" w:w="120"/>
            </w:tcMar>
          </w:tcPr>
          <w:p>
            <w:pPr>
              <w:jc w:val="left"/>
            </w:pPr>
            <w:r>
              <w:rPr>
                <w:b w:val="false"/>
                <w:bCs w:val="false"/>
                <w:color w:val="000000"/>
              </w:rPr>
              <w:t xml:space="preserve">Unit Testing</w:t>
            </w:r>
          </w:p>
        </w:tc>
        <w:tc>
          <w:tcPr>
            <w:tcW w:type="dxa" w:w="2000"/>
            <w:tcMar>
              <w:top w:type="dxa" w:w="100"/>
              <w:left w:type="dxa" w:w="120"/>
              <w:bottom w:type="dxa" w:w="100"/>
              <w:right w:type="dxa" w:w="120"/>
            </w:tcMar>
          </w:tcPr>
          <w:p>
            <w:pPr>
              <w:jc w:val="center"/>
            </w:pPr>
            <w:r>
              <w:rPr>
                <w:b w:val="false"/>
                <w:bCs w:val="false"/>
                <w:color w:val="000000"/>
              </w:rPr>
              <w:t xml:space="preserve">Completed</w:t>
            </w:r>
          </w:p>
        </w:tc>
      </w:tr>
      <w:tr>
        <w:tc>
          <w:tcPr>
            <w:tcW w:type="dxa" w:w="1500"/>
            <w:tcMar>
              <w:top w:type="dxa" w:w="100"/>
              <w:left w:type="dxa" w:w="120"/>
              <w:bottom w:type="dxa" w:w="100"/>
              <w:right w:type="dxa" w:w="120"/>
            </w:tcMar>
          </w:tcPr>
          <w:p>
            <w:pPr>
              <w:jc w:val="center"/>
            </w:pPr>
            <w:r>
              <w:rPr>
                <w:b w:val="false"/>
                <w:bCs w:val="false"/>
                <w:color w:val="000000"/>
              </w:rPr>
              <w:t xml:space="preserve">4.12</w:t>
            </w:r>
          </w:p>
        </w:tc>
        <w:tc>
          <w:tcPr>
            <w:tcW w:type="dxa" w:w="5500"/>
            <w:tcMar>
              <w:top w:type="dxa" w:w="100"/>
              <w:left w:type="dxa" w:w="120"/>
              <w:bottom w:type="dxa" w:w="100"/>
              <w:right w:type="dxa" w:w="120"/>
            </w:tcMar>
          </w:tcPr>
          <w:p>
            <w:pPr>
              <w:jc w:val="left"/>
            </w:pPr>
            <w:r>
              <w:rPr>
                <w:b w:val="false"/>
                <w:bCs w:val="false"/>
                <w:color w:val="000000"/>
              </w:rPr>
              <w:t xml:space="preserve">Integration Validation</w:t>
            </w:r>
          </w:p>
        </w:tc>
        <w:tc>
          <w:tcPr>
            <w:tcW w:type="dxa" w:w="2000"/>
            <w:tcMar>
              <w:top w:type="dxa" w:w="100"/>
              <w:left w:type="dxa" w:w="120"/>
              <w:bottom w:type="dxa" w:w="100"/>
              <w:right w:type="dxa" w:w="120"/>
            </w:tcMar>
          </w:tcPr>
          <w:p>
            <w:pPr>
              <w:jc w:val="center"/>
            </w:pPr>
            <w:r>
              <w:rPr>
                <w:b w:val="false"/>
                <w:bCs w:val="false"/>
                <w:color w:val="000000"/>
              </w:rPr>
              <w:t xml:space="preserve">Completed</w:t>
            </w:r>
          </w:p>
        </w:tc>
      </w:tr>
    </w:tbl>
    <w:p>
      <w:pPr>
        <w:spacing w:after="100"/>
      </w:pPr>
    </w:p>
    <w:p>
      <w:pPr>
        <w:pStyle w:val="Heading1"/>
        <w:spacing w:after="160" w:before="360"/>
      </w:pPr>
      <w:r>
        <w:t xml:space="preserve">4. Architecture</w:t>
      </w:r>
    </w:p>
    <w:p>
      <w:pPr>
        <w:spacing w:after="160"/>
      </w:pPr>
      <w:r>
        <w:t xml:space="preserve">The core idea behind the architecture: every downstream module should interact with data through one consistent, validated interface — not through whatever shape the raw source happened to hand over.</w:t>
      </w:r>
    </w:p>
    <w:p>
      <w:pPr>
        <w:shd w:fill="F2F2F2" w:val="clear"/>
        <w:spacing w:after="160" w:before="80"/>
        <w:ind w:left="200" w:right="200"/>
      </w:pPr>
      <w:r>
        <w:rPr>
          <w:rFonts w:ascii="Consolas" w:cs="Consolas" w:eastAsia="Consolas" w:hAnsi="Consolas"/>
          <w:color w:val="333333"/>
          <w:sz w:val="20"/>
          <w:szCs w:val="20"/>
        </w:rPr>
        <w:t xml:space="preserve">External / Raw Data</w:t>
      </w:r>
      <w:r>
        <w:br/>
        <w:t xml:space="preserve"/>
      </w:r>
      <w:r>
        <w:rPr>
          <w:rFonts w:ascii="Consolas" w:cs="Consolas" w:eastAsia="Consolas" w:hAnsi="Consolas"/>
          <w:color w:val="333333"/>
          <w:sz w:val="20"/>
          <w:szCs w:val="20"/>
        </w:rPr>
        <w:t xml:space="preserve">  -&gt; Data Validation</w:t>
      </w:r>
      <w:r>
        <w:br/>
        <w:t xml:space="preserve"/>
      </w:r>
      <w:r>
        <w:rPr>
          <w:rFonts w:ascii="Consolas" w:cs="Consolas" w:eastAsia="Consolas" w:hAnsi="Consolas"/>
          <w:color w:val="333333"/>
          <w:sz w:val="20"/>
          <w:szCs w:val="20"/>
        </w:rPr>
        <w:t xml:space="preserve">  -&gt; Normalization</w:t>
      </w:r>
      <w:r>
        <w:br/>
        <w:t xml:space="preserve"/>
      </w:r>
      <w:r>
        <w:rPr>
          <w:rFonts w:ascii="Consolas" w:cs="Consolas" w:eastAsia="Consolas" w:hAnsi="Consolas"/>
          <w:color w:val="333333"/>
          <w:sz w:val="20"/>
          <w:szCs w:val="20"/>
        </w:rPr>
        <w:t xml:space="preserve">  -&gt; Structured Data Models</w:t>
      </w:r>
      <w:r>
        <w:br/>
        <w:t xml:space="preserve"/>
      </w:r>
      <w:r>
        <w:rPr>
          <w:rFonts w:ascii="Consolas" w:cs="Consolas" w:eastAsia="Consolas" w:hAnsi="Consolas"/>
          <w:color w:val="333333"/>
          <w:sz w:val="20"/>
          <w:szCs w:val="20"/>
        </w:rPr>
        <w:t xml:space="preserve">  -&gt; Dataset / Repository Layer</w:t>
      </w:r>
      <w:r>
        <w:br/>
        <w:t xml:space="preserve"/>
      </w:r>
      <w:r>
        <w:rPr>
          <w:rFonts w:ascii="Consolas" w:cs="Consolas" w:eastAsia="Consolas" w:hAnsi="Consolas"/>
          <w:color w:val="333333"/>
          <w:sz w:val="20"/>
          <w:szCs w:val="20"/>
        </w:rPr>
        <w:t xml:space="preserve">  -&gt; Validated Internal Data</w:t>
      </w:r>
      <w:r>
        <w:br/>
        <w:t xml:space="preserve"/>
      </w:r>
      <w:r>
        <w:rPr>
          <w:rFonts w:ascii="Consolas" w:cs="Consolas" w:eastAsia="Consolas" w:hAnsi="Consolas"/>
          <w:color w:val="333333"/>
          <w:sz w:val="20"/>
          <w:szCs w:val="20"/>
        </w:rPr>
        <w:t xml:space="preserve">  -&gt; Phase 5 - Data Engineering</w:t>
      </w:r>
      <w:r>
        <w:br/>
        <w:t xml:space="preserve"/>
      </w:r>
      <w:r>
        <w:rPr>
          <w:rFonts w:ascii="Consolas" w:cs="Consolas" w:eastAsia="Consolas" w:hAnsi="Consolas"/>
          <w:color w:val="333333"/>
          <w:sz w:val="20"/>
          <w:szCs w:val="20"/>
        </w:rPr>
        <w:t xml:space="preserve">  -&gt; Phase 6 - Feature Engineering</w:t>
      </w:r>
      <w:r>
        <w:br/>
        <w:t xml:space="preserve"/>
      </w:r>
      <w:r>
        <w:rPr>
          <w:rFonts w:ascii="Consolas" w:cs="Consolas" w:eastAsia="Consolas" w:hAnsi="Consolas"/>
          <w:color w:val="333333"/>
          <w:sz w:val="20"/>
          <w:szCs w:val="20"/>
        </w:rPr>
        <w:t xml:space="preserve">  -&gt; Phase 7 - Financial Analysis</w:t>
      </w:r>
    </w:p>
    <w:p>
      <w:pPr>
        <w:spacing w:after="160"/>
      </w:pPr>
      <w:r>
        <w:t xml:space="preserve">This keeps a clean line between raw external data and the project's internal representation of it. Later modules don't need to keep re-solving basic problems like inconsistent field names, invalid values, missing columns, or structural mismatches — that's handled once, at the boundary.</w:t>
      </w:r>
    </w:p>
    <w:p>
      <w:pPr>
        <w:pStyle w:val="Heading1"/>
        <w:spacing w:after="160" w:before="360"/>
      </w:pPr>
      <w:r>
        <w:t xml:space="preserve">5. Core Data Models</w:t>
      </w:r>
    </w:p>
    <w:p>
      <w:pPr>
        <w:spacing w:after="160"/>
      </w:pPr>
      <w:r>
        <w:t xml:space="preserve">A structured model layer represents the fundamental entities used across the system — market observations and datasets, mainly. The Data Layer was built to handle:</w:t>
      </w:r>
    </w:p>
    <w:p>
      <w:pPr>
        <w:pStyle w:val="ListParagraph"/>
        <w:numPr>
          <w:ilvl w:val="0"/>
          <w:numId w:val="2"/>
        </w:numPr>
        <w:spacing w:after="60"/>
      </w:pPr>
      <w:r>
        <w:t xml:space="preserve">Date or timestamp</w:t>
      </w:r>
    </w:p>
    <w:p>
      <w:pPr>
        <w:pStyle w:val="ListParagraph"/>
        <w:numPr>
          <w:ilvl w:val="0"/>
          <w:numId w:val="2"/>
        </w:numPr>
        <w:spacing w:after="60"/>
      </w:pPr>
      <w:r>
        <w:t xml:space="preserve">Open price</w:t>
      </w:r>
    </w:p>
    <w:p>
      <w:pPr>
        <w:pStyle w:val="ListParagraph"/>
        <w:numPr>
          <w:ilvl w:val="0"/>
          <w:numId w:val="2"/>
        </w:numPr>
        <w:spacing w:after="60"/>
      </w:pPr>
      <w:r>
        <w:t xml:space="preserve">High price</w:t>
      </w:r>
    </w:p>
    <w:p>
      <w:pPr>
        <w:pStyle w:val="ListParagraph"/>
        <w:numPr>
          <w:ilvl w:val="0"/>
          <w:numId w:val="2"/>
        </w:numPr>
        <w:spacing w:after="60"/>
      </w:pPr>
      <w:r>
        <w:t xml:space="preserve">Low price</w:t>
      </w:r>
    </w:p>
    <w:p>
      <w:pPr>
        <w:pStyle w:val="ListParagraph"/>
        <w:numPr>
          <w:ilvl w:val="0"/>
          <w:numId w:val="2"/>
        </w:numPr>
        <w:spacing w:after="60"/>
      </w:pPr>
      <w:r>
        <w:t xml:space="preserve">Close price</w:t>
      </w:r>
    </w:p>
    <w:p>
      <w:pPr>
        <w:pStyle w:val="ListParagraph"/>
        <w:numPr>
          <w:ilvl w:val="0"/>
          <w:numId w:val="2"/>
        </w:numPr>
        <w:spacing w:after="60"/>
      </w:pPr>
      <w:r>
        <w:t xml:space="preserve">Adjusted close price</w:t>
      </w:r>
    </w:p>
    <w:p>
      <w:pPr>
        <w:pStyle w:val="ListParagraph"/>
        <w:numPr>
          <w:ilvl w:val="0"/>
          <w:numId w:val="2"/>
        </w:numPr>
        <w:spacing w:after="60"/>
      </w:pPr>
      <w:r>
        <w:t xml:space="preserve">Trading volume</w:t>
      </w:r>
    </w:p>
    <w:p>
      <w:pPr>
        <w:pStyle w:val="ListParagraph"/>
        <w:numPr>
          <w:ilvl w:val="0"/>
          <w:numId w:val="2"/>
        </w:numPr>
        <w:spacing w:after="60"/>
      </w:pPr>
      <w:r>
        <w:t xml:space="preserve">Symbol or instrument identifier</w:t>
      </w:r>
    </w:p>
    <w:p>
      <w:pPr>
        <w:pStyle w:val="ListParagraph"/>
        <w:numPr>
          <w:ilvl w:val="0"/>
          <w:numId w:val="2"/>
        </w:numPr>
        <w:spacing w:after="60"/>
      </w:pPr>
      <w:r>
        <w:t xml:space="preserve">Additional market metadata</w:t>
      </w:r>
    </w:p>
    <w:p>
      <w:pPr>
        <w:spacing w:after="160"/>
      </w:pPr>
      <w:r>
        <w:t xml:space="preserve">Conceptually, a single market observation looks like this:</w:t>
      </w:r>
    </w:p>
    <w:p>
      <w:pPr>
        <w:shd w:fill="F2F2F2" w:val="clear"/>
        <w:spacing w:after="160" w:before="80"/>
        <w:ind w:left="200" w:right="200"/>
      </w:pPr>
      <w:r>
        <w:rPr>
          <w:rFonts w:ascii="Consolas" w:cs="Consolas" w:eastAsia="Consolas" w:hAnsi="Consolas"/>
          <w:color w:val="333333"/>
          <w:sz w:val="20"/>
          <w:szCs w:val="20"/>
        </w:rPr>
        <w:t xml:space="preserve">Market Record</w:t>
      </w:r>
      <w:r>
        <w:br/>
        <w:t xml:space="preserve"/>
      </w:r>
      <w:r>
        <w:rPr>
          <w:rFonts w:ascii="Consolas" w:cs="Consolas" w:eastAsia="Consolas" w:hAnsi="Consolas"/>
          <w:color w:val="333333"/>
          <w:sz w:val="20"/>
          <w:szCs w:val="20"/>
        </w:rPr>
        <w:t xml:space="preserve">  Instrument Information</w:t>
      </w:r>
      <w:r>
        <w:br/>
        <w:t xml:space="preserve"/>
      </w:r>
      <w:r>
        <w:rPr>
          <w:rFonts w:ascii="Consolas" w:cs="Consolas" w:eastAsia="Consolas" w:hAnsi="Consolas"/>
          <w:color w:val="333333"/>
          <w:sz w:val="20"/>
          <w:szCs w:val="20"/>
        </w:rPr>
        <w:t xml:space="preserve">    - Symbol</w:t>
      </w:r>
      <w:r>
        <w:br/>
        <w:t xml:space="preserve"/>
      </w:r>
      <w:r>
        <w:rPr>
          <w:rFonts w:ascii="Consolas" w:cs="Consolas" w:eastAsia="Consolas" w:hAnsi="Consolas"/>
          <w:color w:val="333333"/>
          <w:sz w:val="20"/>
          <w:szCs w:val="20"/>
        </w:rPr>
        <w:t xml:space="preserve">    - Market Metadata</w:t>
      </w:r>
      <w:r>
        <w:br/>
        <w:t xml:space="preserve"/>
      </w:r>
      <w:r>
        <w:rPr>
          <w:rFonts w:ascii="Consolas" w:cs="Consolas" w:eastAsia="Consolas" w:hAnsi="Consolas"/>
          <w:color w:val="333333"/>
          <w:sz w:val="20"/>
          <w:szCs w:val="20"/>
        </w:rPr>
        <w:t xml:space="preserve">  Time Information</w:t>
      </w:r>
      <w:r>
        <w:br/>
        <w:t xml:space="preserve"/>
      </w:r>
      <w:r>
        <w:rPr>
          <w:rFonts w:ascii="Consolas" w:cs="Consolas" w:eastAsia="Consolas" w:hAnsi="Consolas"/>
          <w:color w:val="333333"/>
          <w:sz w:val="20"/>
          <w:szCs w:val="20"/>
        </w:rPr>
        <w:t xml:space="preserve">    - Date / Timestamp</w:t>
      </w:r>
      <w:r>
        <w:br/>
        <w:t xml:space="preserve"/>
      </w:r>
      <w:r>
        <w:rPr>
          <w:rFonts w:ascii="Consolas" w:cs="Consolas" w:eastAsia="Consolas" w:hAnsi="Consolas"/>
          <w:color w:val="333333"/>
          <w:sz w:val="20"/>
          <w:szCs w:val="20"/>
        </w:rPr>
        <w:t xml:space="preserve">  Market Values</w:t>
      </w:r>
      <w:r>
        <w:br/>
        <w:t xml:space="preserve"/>
      </w:r>
      <w:r>
        <w:rPr>
          <w:rFonts w:ascii="Consolas" w:cs="Consolas" w:eastAsia="Consolas" w:hAnsi="Consolas"/>
          <w:color w:val="333333"/>
          <w:sz w:val="20"/>
          <w:szCs w:val="20"/>
        </w:rPr>
        <w:t xml:space="preserve">    - Open</w:t>
      </w:r>
      <w:r>
        <w:br/>
        <w:t xml:space="preserve"/>
      </w:r>
      <w:r>
        <w:rPr>
          <w:rFonts w:ascii="Consolas" w:cs="Consolas" w:eastAsia="Consolas" w:hAnsi="Consolas"/>
          <w:color w:val="333333"/>
          <w:sz w:val="20"/>
          <w:szCs w:val="20"/>
        </w:rPr>
        <w:t xml:space="preserve">    - High</w:t>
      </w:r>
      <w:r>
        <w:br/>
        <w:t xml:space="preserve"/>
      </w:r>
      <w:r>
        <w:rPr>
          <w:rFonts w:ascii="Consolas" w:cs="Consolas" w:eastAsia="Consolas" w:hAnsi="Consolas"/>
          <w:color w:val="333333"/>
          <w:sz w:val="20"/>
          <w:szCs w:val="20"/>
        </w:rPr>
        <w:t xml:space="preserve">    - Low</w:t>
      </w:r>
      <w:r>
        <w:br/>
        <w:t xml:space="preserve"/>
      </w:r>
      <w:r>
        <w:rPr>
          <w:rFonts w:ascii="Consolas" w:cs="Consolas" w:eastAsia="Consolas" w:hAnsi="Consolas"/>
          <w:color w:val="333333"/>
          <w:sz w:val="20"/>
          <w:szCs w:val="20"/>
        </w:rPr>
        <w:t xml:space="preserve">    - Close</w:t>
      </w:r>
      <w:r>
        <w:br/>
        <w:t xml:space="preserve"/>
      </w:r>
      <w:r>
        <w:rPr>
          <w:rFonts w:ascii="Consolas" w:cs="Consolas" w:eastAsia="Consolas" w:hAnsi="Consolas"/>
          <w:color w:val="333333"/>
          <w:sz w:val="20"/>
          <w:szCs w:val="20"/>
        </w:rPr>
        <w:t xml:space="preserve">    - Adjusted Close</w:t>
      </w:r>
      <w:r>
        <w:br/>
        <w:t xml:space="preserve"/>
      </w:r>
      <w:r>
        <w:rPr>
          <w:rFonts w:ascii="Consolas" w:cs="Consolas" w:eastAsia="Consolas" w:hAnsi="Consolas"/>
          <w:color w:val="333333"/>
          <w:sz w:val="20"/>
          <w:szCs w:val="20"/>
        </w:rPr>
        <w:t xml:space="preserve">    - Volume</w:t>
      </w:r>
    </w:p>
    <w:p>
      <w:pPr>
        <w:spacing w:after="160"/>
      </w:pPr>
      <w:r>
        <w:t xml:space="preserve">These models give the Data Layer and everything downstream of it a shared vocabulary to work with.</w:t>
      </w:r>
    </w:p>
    <w:p>
      <w:pPr>
        <w:pStyle w:val="Heading1"/>
        <w:spacing w:after="160" w:before="360"/>
      </w:pPr>
      <w:r>
        <w:t xml:space="preserve">6. Schema and Validation</w:t>
      </w:r>
    </w:p>
    <w:p>
      <w:pPr>
        <w:spacing w:after="160"/>
      </w:pPr>
      <w:r>
        <w:t xml:space="preserve">Validation makes sure records entering the system actually match the expected structure. It checks that required fields are present, data types are valid, numeric values are properly represented, dates can be interpreted consistently, and that optional fields don't cause problems when they're absent.</w:t>
      </w:r>
    </w:p>
    <w:p>
      <w:pPr>
        <w:spacing w:after="160"/>
      </w:pPr>
      <w:r>
        <w:t xml:space="preserve">Financial data needs a bit more than basic type checking, though — there's real structural logic involved. A valid OHLC record should generally satisfy:</w:t>
      </w:r>
    </w:p>
    <w:p>
      <w:pPr>
        <w:shd w:fill="F2F2F2" w:val="clear"/>
        <w:spacing w:after="160" w:before="80"/>
        <w:ind w:left="200" w:right="200"/>
      </w:pPr>
      <w:r>
        <w:rPr>
          <w:rFonts w:ascii="Consolas" w:cs="Consolas" w:eastAsia="Consolas" w:hAnsi="Consolas"/>
          <w:color w:val="333333"/>
          <w:sz w:val="20"/>
          <w:szCs w:val="20"/>
        </w:rPr>
        <w:t xml:space="preserve">Low &lt;= Open</w:t>
      </w:r>
      <w:r>
        <w:br/>
        <w:t xml:space="preserve"/>
      </w:r>
      <w:r>
        <w:rPr>
          <w:rFonts w:ascii="Consolas" w:cs="Consolas" w:eastAsia="Consolas" w:hAnsi="Consolas"/>
          <w:color w:val="333333"/>
          <w:sz w:val="20"/>
          <w:szCs w:val="20"/>
        </w:rPr>
        <w:t xml:space="preserve">Low &lt;= Close</w:t>
      </w:r>
      <w:r>
        <w:br/>
        <w:t xml:space="preserve"/>
      </w:r>
      <w:r>
        <w:rPr>
          <w:rFonts w:ascii="Consolas" w:cs="Consolas" w:eastAsia="Consolas" w:hAnsi="Consolas"/>
          <w:color w:val="333333"/>
          <w:sz w:val="20"/>
          <w:szCs w:val="20"/>
        </w:rPr>
        <w:t xml:space="preserve">Low &lt;= High</w:t>
      </w:r>
      <w:r>
        <w:br/>
        <w:t xml:space="preserve"/>
      </w:r>
      <w:r>
        <w:rPr>
          <w:rFonts w:ascii="Consolas" w:cs="Consolas" w:eastAsia="Consolas" w:hAnsi="Consolas"/>
          <w:color w:val="333333"/>
          <w:sz w:val="20"/>
          <w:szCs w:val="20"/>
        </w:rPr>
        <w:t xml:space="preserve"/>
      </w:r>
      <w:r>
        <w:br/>
        <w:t xml:space="preserve"/>
      </w:r>
      <w:r>
        <w:rPr>
          <w:rFonts w:ascii="Consolas" w:cs="Consolas" w:eastAsia="Consolas" w:hAnsi="Consolas"/>
          <w:color w:val="333333"/>
          <w:sz w:val="20"/>
          <w:szCs w:val="20"/>
        </w:rPr>
        <w:t xml:space="preserve">High &gt;= Open</w:t>
      </w:r>
      <w:r>
        <w:br/>
        <w:t xml:space="preserve"/>
      </w:r>
      <w:r>
        <w:rPr>
          <w:rFonts w:ascii="Consolas" w:cs="Consolas" w:eastAsia="Consolas" w:hAnsi="Consolas"/>
          <w:color w:val="333333"/>
          <w:sz w:val="20"/>
          <w:szCs w:val="20"/>
        </w:rPr>
        <w:t xml:space="preserve">High &gt;= Close</w:t>
      </w:r>
      <w:r>
        <w:br/>
        <w:t xml:space="preserve"/>
      </w:r>
      <w:r>
        <w:rPr>
          <w:rFonts w:ascii="Consolas" w:cs="Consolas" w:eastAsia="Consolas" w:hAnsi="Consolas"/>
          <w:color w:val="333333"/>
          <w:sz w:val="20"/>
          <w:szCs w:val="20"/>
        </w:rPr>
        <w:t xml:space="preserve">High &gt;= Low</w:t>
      </w:r>
    </w:p>
    <w:p>
      <w:pPr>
        <w:spacing w:after="160"/>
      </w:pPr>
      <w:r>
        <w:t xml:space="preserve">Having this logic in the Data Layer means structurally invalid market observations get caught before they can quietly corrupt downstream calculations.</w:t>
      </w:r>
    </w:p>
    <w:p>
      <w:pPr>
        <w:pStyle w:val="Heading1"/>
        <w:spacing w:after="160" w:before="360"/>
      </w:pPr>
      <w:r>
        <w:t xml:space="preserve">7. Normalization</w:t>
      </w:r>
    </w:p>
    <w:p>
      <w:pPr>
        <w:spacing w:after="160"/>
      </w:pPr>
      <w:r>
        <w:t xml:space="preserve">Different sources describe the same thing differently. A date field might show up as Date, DATE, date, or timestamp. A close price might come through as Close, close, CLOSE, Adjusted Close, or Adj Close. None of that should have to matter once data is inside the system.</w:t>
      </w:r>
    </w:p>
    <w:p>
      <w:pPr>
        <w:spacing w:after="160"/>
      </w:pPr>
      <w:r>
        <w:t xml:space="preserve">The normalization flow is straightforward:</w:t>
      </w:r>
    </w:p>
    <w:p>
      <w:pPr>
        <w:shd w:fill="F2F2F2" w:val="clear"/>
        <w:spacing w:after="160" w:before="80"/>
        <w:ind w:left="200" w:right="200"/>
      </w:pPr>
      <w:r>
        <w:rPr>
          <w:rFonts w:ascii="Consolas" w:cs="Consolas" w:eastAsia="Consolas" w:hAnsi="Consolas"/>
          <w:color w:val="333333"/>
          <w:sz w:val="20"/>
          <w:szCs w:val="20"/>
        </w:rPr>
        <w:t xml:space="preserve">External Source Format</w:t>
      </w:r>
      <w:r>
        <w:br/>
        <w:t xml:space="preserve"/>
      </w:r>
      <w:r>
        <w:rPr>
          <w:rFonts w:ascii="Consolas" w:cs="Consolas" w:eastAsia="Consolas" w:hAnsi="Consolas"/>
          <w:color w:val="333333"/>
          <w:sz w:val="20"/>
          <w:szCs w:val="20"/>
        </w:rPr>
        <w:t xml:space="preserve">  -&gt; Field Mapping</w:t>
      </w:r>
      <w:r>
        <w:br/>
        <w:t xml:space="preserve"/>
      </w:r>
      <w:r>
        <w:rPr>
          <w:rFonts w:ascii="Consolas" w:cs="Consolas" w:eastAsia="Consolas" w:hAnsi="Consolas"/>
          <w:color w:val="333333"/>
          <w:sz w:val="20"/>
          <w:szCs w:val="20"/>
        </w:rPr>
        <w:t xml:space="preserve">  -&gt; Type Conversion</w:t>
      </w:r>
      <w:r>
        <w:br/>
        <w:t xml:space="preserve"/>
      </w:r>
      <w:r>
        <w:rPr>
          <w:rFonts w:ascii="Consolas" w:cs="Consolas" w:eastAsia="Consolas" w:hAnsi="Consolas"/>
          <w:color w:val="333333"/>
          <w:sz w:val="20"/>
          <w:szCs w:val="20"/>
        </w:rPr>
        <w:t xml:space="preserve">  -&gt; Value Validation</w:t>
      </w:r>
      <w:r>
        <w:br/>
        <w:t xml:space="preserve"/>
      </w:r>
      <w:r>
        <w:rPr>
          <w:rFonts w:ascii="Consolas" w:cs="Consolas" w:eastAsia="Consolas" w:hAnsi="Consolas"/>
          <w:color w:val="333333"/>
          <w:sz w:val="20"/>
          <w:szCs w:val="20"/>
        </w:rPr>
        <w:t xml:space="preserve">  -&gt; Internal Standard Format</w:t>
      </w:r>
    </w:p>
    <w:p>
      <w:pPr>
        <w:spacing w:after="160"/>
      </w:pPr>
      <w:r>
        <w:t xml:space="preserve">This keeps source-specific quirks from leaking into feature engineering or modelling, where they'd be much harder to spot and fix.</w:t>
      </w:r>
    </w:p>
    <w:p>
      <w:pPr>
        <w:pStyle w:val="Heading1"/>
        <w:spacing w:after="160" w:before="360"/>
      </w:pPr>
      <w:r>
        <w:t xml:space="preserve">8. Missing Data</w:t>
      </w:r>
    </w:p>
    <w:p>
      <w:pPr>
        <w:spacing w:after="160"/>
      </w:pPr>
      <w:r>
        <w:t xml:space="preserve">Market datasets are rarely complete. Gaps show up because of market holidays, different trading calendars across instruments, delayed economic releases, missing values at the source, instrument-specific trading gaps, or just incomplete historical records.</w:t>
      </w:r>
    </w:p>
    <w:p>
      <w:pPr>
        <w:spacing w:after="160"/>
      </w:pPr>
      <w:r>
        <w:t xml:space="preserve">Phase 4 doesn't try to aggressively fill in these gaps itself — that's a decision better made by whichever later phase actually understands the context. What it does do is keep a clean, explicit distinction between:</w:t>
      </w:r>
    </w:p>
    <w:p>
      <w:pPr>
        <w:shd w:fill="F2F2F2" w:val="clear"/>
        <w:spacing w:after="160" w:before="80"/>
        <w:ind w:left="200" w:right="200"/>
      </w:pPr>
      <w:r>
        <w:rPr>
          <w:rFonts w:ascii="Consolas" w:cs="Consolas" w:eastAsia="Consolas" w:hAnsi="Consolas"/>
          <w:color w:val="333333"/>
          <w:sz w:val="20"/>
          <w:szCs w:val="20"/>
        </w:rPr>
        <w:t xml:space="preserve">Valid Value</w:t>
      </w:r>
      <w:r>
        <w:br/>
        <w:t xml:space="preserve"/>
      </w:r>
      <w:r>
        <w:rPr>
          <w:rFonts w:ascii="Consolas" w:cs="Consolas" w:eastAsia="Consolas" w:hAnsi="Consolas"/>
          <w:color w:val="333333"/>
          <w:sz w:val="20"/>
          <w:szCs w:val="20"/>
        </w:rPr>
        <w:t xml:space="preserve">Missing Value</w:t>
      </w:r>
      <w:r>
        <w:br/>
        <w:t xml:space="preserve"/>
      </w:r>
      <w:r>
        <w:rPr>
          <w:rFonts w:ascii="Consolas" w:cs="Consolas" w:eastAsia="Consolas" w:hAnsi="Consolas"/>
          <w:color w:val="333333"/>
          <w:sz w:val="20"/>
          <w:szCs w:val="20"/>
        </w:rPr>
        <w:t xml:space="preserve">Invalid Value</w:t>
      </w:r>
    </w:p>
    <w:p>
      <w:pPr>
        <w:spacing w:after="160"/>
      </w:pPr>
      <w:r>
        <w:t xml:space="preserve">That distinction matters because different phases will want to handle missing data differently — Phase 5 can clean and prepare it, Phase 6 can account for rolling-window warm-up periods, Phase 7 can apply financial interpretation, and the modelling phases can lean on uncertainty-aware approaches. None of that works well if the Data Layer already made an unrecoverable guess.</w:t>
      </w:r>
    </w:p>
    <w:p>
      <w:pPr>
        <w:pStyle w:val="Heading1"/>
        <w:spacing w:after="160" w:before="360"/>
      </w:pPr>
      <w:r>
        <w:t xml:space="preserve">9. Dataset Abstractions</w:t>
      </w:r>
    </w:p>
    <w:p>
      <w:pPr>
        <w:spacing w:after="160"/>
      </w:pPr>
      <w:r>
        <w:t xml:space="preserve">Beyond individual records, the Data Layer also introduces a structured way to work with collections of them — so modules aren't just handling loose, unrelated records. A dataset preserves record order, dataset identity, schema consistency, metadata, instrument information, and time-series continuity.</w:t>
      </w:r>
    </w:p>
    <w:p>
      <w:pPr>
        <w:shd w:fill="F2F2F2" w:val="clear"/>
        <w:spacing w:after="160" w:before="80"/>
        <w:ind w:left="200" w:right="200"/>
      </w:pPr>
      <w:r>
        <w:rPr>
          <w:rFonts w:ascii="Consolas" w:cs="Consolas" w:eastAsia="Consolas" w:hAnsi="Consolas"/>
          <w:color w:val="333333"/>
          <w:sz w:val="20"/>
          <w:szCs w:val="20"/>
        </w:rPr>
        <w:t xml:space="preserve">Dataset</w:t>
      </w:r>
      <w:r>
        <w:br/>
        <w:t xml:space="preserve"/>
      </w:r>
      <w:r>
        <w:rPr>
          <w:rFonts w:ascii="Consolas" w:cs="Consolas" w:eastAsia="Consolas" w:hAnsi="Consolas"/>
          <w:color w:val="333333"/>
          <w:sz w:val="20"/>
          <w:szCs w:val="20"/>
        </w:rPr>
        <w:t xml:space="preserve">  Metadata</w:t>
      </w:r>
      <w:r>
        <w:br/>
        <w:t xml:space="preserve"/>
      </w:r>
      <w:r>
        <w:rPr>
          <w:rFonts w:ascii="Consolas" w:cs="Consolas" w:eastAsia="Consolas" w:hAnsi="Consolas"/>
          <w:color w:val="333333"/>
          <w:sz w:val="20"/>
          <w:szCs w:val="20"/>
        </w:rPr>
        <w:t xml:space="preserve">    - Symbol</w:t>
      </w:r>
      <w:r>
        <w:br/>
        <w:t xml:space="preserve"/>
      </w:r>
      <w:r>
        <w:rPr>
          <w:rFonts w:ascii="Consolas" w:cs="Consolas" w:eastAsia="Consolas" w:hAnsi="Consolas"/>
          <w:color w:val="333333"/>
          <w:sz w:val="20"/>
          <w:szCs w:val="20"/>
        </w:rPr>
        <w:t xml:space="preserve">    - Source</w:t>
      </w:r>
      <w:r>
        <w:br/>
        <w:t xml:space="preserve"/>
      </w:r>
      <w:r>
        <w:rPr>
          <w:rFonts w:ascii="Consolas" w:cs="Consolas" w:eastAsia="Consolas" w:hAnsi="Consolas"/>
          <w:color w:val="333333"/>
          <w:sz w:val="20"/>
          <w:szCs w:val="20"/>
        </w:rPr>
        <w:t xml:space="preserve">    - Time Range</w:t>
      </w:r>
      <w:r>
        <w:br/>
        <w:t xml:space="preserve"/>
      </w:r>
      <w:r>
        <w:rPr>
          <w:rFonts w:ascii="Consolas" w:cs="Consolas" w:eastAsia="Consolas" w:hAnsi="Consolas"/>
          <w:color w:val="333333"/>
          <w:sz w:val="20"/>
          <w:szCs w:val="20"/>
        </w:rPr>
        <w:t xml:space="preserve">  Schema</w:t>
      </w:r>
      <w:r>
        <w:br/>
        <w:t xml:space="preserve"/>
      </w:r>
      <w:r>
        <w:rPr>
          <w:rFonts w:ascii="Consolas" w:cs="Consolas" w:eastAsia="Consolas" w:hAnsi="Consolas"/>
          <w:color w:val="333333"/>
          <w:sz w:val="20"/>
          <w:szCs w:val="20"/>
        </w:rPr>
        <w:t xml:space="preserve">  Records</w:t>
      </w:r>
      <w:r>
        <w:br/>
        <w:t xml:space="preserve"/>
      </w:r>
      <w:r>
        <w:rPr>
          <w:rFonts w:ascii="Consolas" w:cs="Consolas" w:eastAsia="Consolas" w:hAnsi="Consolas"/>
          <w:color w:val="333333"/>
          <w:sz w:val="20"/>
          <w:szCs w:val="20"/>
        </w:rPr>
        <w:t xml:space="preserve">    - Record 1</w:t>
      </w:r>
      <w:r>
        <w:br/>
        <w:t xml:space="preserve"/>
      </w:r>
      <w:r>
        <w:rPr>
          <w:rFonts w:ascii="Consolas" w:cs="Consolas" w:eastAsia="Consolas" w:hAnsi="Consolas"/>
          <w:color w:val="333333"/>
          <w:sz w:val="20"/>
          <w:szCs w:val="20"/>
        </w:rPr>
        <w:t xml:space="preserve">    - Record 2</w:t>
      </w:r>
      <w:r>
        <w:br/>
        <w:t xml:space="preserve"/>
      </w:r>
      <w:r>
        <w:rPr>
          <w:rFonts w:ascii="Consolas" w:cs="Consolas" w:eastAsia="Consolas" w:hAnsi="Consolas"/>
          <w:color w:val="333333"/>
          <w:sz w:val="20"/>
          <w:szCs w:val="20"/>
        </w:rPr>
        <w:t xml:space="preserve">    - Record 3</w:t>
      </w:r>
      <w:r>
        <w:br/>
        <w:t xml:space="preserve"/>
      </w:r>
      <w:r>
        <w:rPr>
          <w:rFonts w:ascii="Consolas" w:cs="Consolas" w:eastAsia="Consolas" w:hAnsi="Consolas"/>
          <w:color w:val="333333"/>
          <w:sz w:val="20"/>
          <w:szCs w:val="20"/>
        </w:rPr>
        <w:t xml:space="preserve">    - ...</w:t>
      </w:r>
    </w:p>
    <w:p>
      <w:pPr>
        <w:spacing w:after="160"/>
      </w:pPr>
      <w:r>
        <w:t xml:space="preserve">This gives chronological market analysis a much sturdier foundation to sit on than a plain list of dictionaries would.</w:t>
      </w:r>
    </w:p>
    <w:p>
      <w:pPr>
        <w:pStyle w:val="Heading1"/>
        <w:spacing w:after="160" w:before="360"/>
      </w:pPr>
      <w:r>
        <w:t xml:space="preserve">10. Data Contracts</w:t>
      </w:r>
    </w:p>
    <w:p>
      <w:pPr>
        <w:spacing w:after="160"/>
      </w:pPr>
      <w:r>
        <w:t xml:space="preserve">One of the bigger goals of this phase was defining clear data contracts — what each part of the system expects to receive, and what it guarantees to hand back.</w:t>
      </w:r>
    </w:p>
    <w:p>
      <w:pPr>
        <w:shd w:fill="F2F2F2" w:val="clear"/>
        <w:spacing w:after="160" w:before="80"/>
        <w:ind w:left="200" w:right="200"/>
      </w:pPr>
      <w:r>
        <w:rPr>
          <w:rFonts w:ascii="Consolas" w:cs="Consolas" w:eastAsia="Consolas" w:hAnsi="Consolas"/>
          <w:color w:val="333333"/>
          <w:sz w:val="20"/>
          <w:szCs w:val="20"/>
        </w:rPr>
        <w:t xml:space="preserve">Data Provider</w:t>
      </w:r>
      <w:r>
        <w:br/>
        <w:t xml:space="preserve"/>
      </w:r>
      <w:r>
        <w:rPr>
          <w:rFonts w:ascii="Consolas" w:cs="Consolas" w:eastAsia="Consolas" w:hAnsi="Consolas"/>
          <w:color w:val="333333"/>
          <w:sz w:val="20"/>
          <w:szCs w:val="20"/>
        </w:rPr>
        <w:t xml:space="preserve">  -&gt; Validated Records</w:t>
      </w:r>
      <w:r>
        <w:br/>
        <w:t xml:space="preserve"/>
      </w:r>
      <w:r>
        <w:rPr>
          <w:rFonts w:ascii="Consolas" w:cs="Consolas" w:eastAsia="Consolas" w:hAnsi="Consolas"/>
          <w:color w:val="333333"/>
          <w:sz w:val="20"/>
          <w:szCs w:val="20"/>
        </w:rPr>
        <w:t xml:space="preserve">Data Layer</w:t>
      </w:r>
      <w:r>
        <w:br/>
        <w:t xml:space="preserve"/>
      </w:r>
      <w:r>
        <w:rPr>
          <w:rFonts w:ascii="Consolas" w:cs="Consolas" w:eastAsia="Consolas" w:hAnsi="Consolas"/>
          <w:color w:val="333333"/>
          <w:sz w:val="20"/>
          <w:szCs w:val="20"/>
        </w:rPr>
        <w:t xml:space="preserve">  -&gt; Structured Dataset</w:t>
      </w:r>
      <w:r>
        <w:br/>
        <w:t xml:space="preserve"/>
      </w:r>
      <w:r>
        <w:rPr>
          <w:rFonts w:ascii="Consolas" w:cs="Consolas" w:eastAsia="Consolas" w:hAnsi="Consolas"/>
          <w:color w:val="333333"/>
          <w:sz w:val="20"/>
          <w:szCs w:val="20"/>
        </w:rPr>
        <w:t xml:space="preserve">Data Engineering</w:t>
      </w:r>
      <w:r>
        <w:br/>
        <w:t xml:space="preserve"/>
      </w:r>
      <w:r>
        <w:rPr>
          <w:rFonts w:ascii="Consolas" w:cs="Consolas" w:eastAsia="Consolas" w:hAnsi="Consolas"/>
          <w:color w:val="333333"/>
          <w:sz w:val="20"/>
          <w:szCs w:val="20"/>
        </w:rPr>
        <w:t xml:space="preserve">  -&gt; Prepared Dataset</w:t>
      </w:r>
      <w:r>
        <w:br/>
        <w:t xml:space="preserve"/>
      </w:r>
      <w:r>
        <w:rPr>
          <w:rFonts w:ascii="Consolas" w:cs="Consolas" w:eastAsia="Consolas" w:hAnsi="Consolas"/>
          <w:color w:val="333333"/>
          <w:sz w:val="20"/>
          <w:szCs w:val="20"/>
        </w:rPr>
        <w:t xml:space="preserve">Feature Engineering</w:t>
      </w:r>
      <w:r>
        <w:br/>
        <w:t xml:space="preserve"/>
      </w:r>
      <w:r>
        <w:rPr>
          <w:rFonts w:ascii="Consolas" w:cs="Consolas" w:eastAsia="Consolas" w:hAnsi="Consolas"/>
          <w:color w:val="333333"/>
          <w:sz w:val="20"/>
          <w:szCs w:val="20"/>
        </w:rPr>
        <w:t xml:space="preserve">  -&gt; Feature Matrix</w:t>
      </w:r>
      <w:r>
        <w:br/>
        <w:t xml:space="preserve"/>
      </w:r>
      <w:r>
        <w:rPr>
          <w:rFonts w:ascii="Consolas" w:cs="Consolas" w:eastAsia="Consolas" w:hAnsi="Consolas"/>
          <w:color w:val="333333"/>
          <w:sz w:val="20"/>
          <w:szCs w:val="20"/>
        </w:rPr>
        <w:t xml:space="preserve">Financial Analysis</w:t>
      </w:r>
      <w:r>
        <w:br/>
        <w:t xml:space="preserve"/>
      </w:r>
      <w:r>
        <w:rPr>
          <w:rFonts w:ascii="Consolas" w:cs="Consolas" w:eastAsia="Consolas" w:hAnsi="Consolas"/>
          <w:color w:val="333333"/>
          <w:sz w:val="20"/>
          <w:szCs w:val="20"/>
        </w:rPr>
        <w:t xml:space="preserve">  -&gt; Financial Signals</w:t>
      </w:r>
      <w:r>
        <w:br/>
        <w:t xml:space="preserve"/>
      </w:r>
      <w:r>
        <w:rPr>
          <w:rFonts w:ascii="Consolas" w:cs="Consolas" w:eastAsia="Consolas" w:hAnsi="Consolas"/>
          <w:color w:val="333333"/>
          <w:sz w:val="20"/>
          <w:szCs w:val="20"/>
        </w:rPr>
        <w:t xml:space="preserve">Regime Detection Models</w:t>
      </w:r>
    </w:p>
    <w:p>
      <w:pPr>
        <w:spacing w:after="160"/>
      </w:pPr>
      <w:r>
        <w:t xml:space="preserve">That separation matters because it limits how far a change can ripple. If a data provider changes its format tomorrow, that should mostly affect the ingestion and normalization boundary — not every feature or model built on top of it.</w:t>
      </w:r>
    </w:p>
    <w:p>
      <w:pPr>
        <w:pStyle w:val="Heading1"/>
        <w:spacing w:after="160" w:before="360"/>
      </w:pPr>
      <w:r>
        <w:t xml:space="preserve">11. Chronological Integrity</w:t>
      </w:r>
    </w:p>
    <w:p>
      <w:pPr>
        <w:spacing w:after="160"/>
      </w:pPr>
      <w:r>
        <w:t xml:space="preserve">Time-series work lives and dies on record order. Phase 4 makes chronological consistency a first-class requirement, not an afterthought, because so much of what comes later depends on history being in the right sequence:</w:t>
      </w:r>
    </w:p>
    <w:p>
      <w:pPr>
        <w:shd w:fill="F2F2F2" w:val="clear"/>
        <w:spacing w:after="160" w:before="80"/>
        <w:ind w:left="200" w:right="200"/>
      </w:pPr>
      <w:r>
        <w:rPr>
          <w:rFonts w:ascii="Consolas" w:cs="Consolas" w:eastAsia="Consolas" w:hAnsi="Consolas"/>
          <w:color w:val="333333"/>
          <w:sz w:val="20"/>
          <w:szCs w:val="20"/>
        </w:rPr>
        <w:t xml:space="preserve">Price(t-1)</w:t>
      </w:r>
      <w:r>
        <w:br/>
        <w:t xml:space="preserve"/>
      </w:r>
      <w:r>
        <w:rPr>
          <w:rFonts w:ascii="Consolas" w:cs="Consolas" w:eastAsia="Consolas" w:hAnsi="Consolas"/>
          <w:color w:val="333333"/>
          <w:sz w:val="20"/>
          <w:szCs w:val="20"/>
        </w:rPr>
        <w:t xml:space="preserve">Price(t)</w:t>
      </w:r>
      <w:r>
        <w:br/>
        <w:t xml:space="preserve"/>
      </w:r>
      <w:r>
        <w:rPr>
          <w:rFonts w:ascii="Consolas" w:cs="Consolas" w:eastAsia="Consolas" w:hAnsi="Consolas"/>
          <w:color w:val="333333"/>
          <w:sz w:val="20"/>
          <w:szCs w:val="20"/>
        </w:rPr>
        <w:t xml:space="preserve">Price(t+1)</w:t>
      </w:r>
    </w:p>
    <w:p>
      <w:pPr>
        <w:spacing w:after="160"/>
      </w:pPr>
      <w:r>
        <w:t xml:space="preserve">Daily returns, rolling volatility, momentum, moving averages, RSI, cross-asset correlations, regime transitions — all of it depends on correct ordering. Get that wrong and you risk future information leaking into what should be a purely historical calculation, which is about as bad as data errors get in this kind of system.</w:t>
      </w:r>
    </w:p>
    <w:p>
      <w:pPr>
        <w:pStyle w:val="Heading1"/>
        <w:spacing w:after="160" w:before="360"/>
      </w:pPr>
      <w:r>
        <w:t xml:space="preserve">12. Error Handling</w:t>
      </w:r>
    </w:p>
    <w:p>
      <w:pPr>
        <w:spacing w:after="160"/>
      </w:pPr>
      <w:r>
        <w:t xml:space="preserve">The Data Layer is built to fail loudly and clearly when data breaks an important contract, rather than let bad data slide through quietly. The failure categories it's built to catch:</w:t>
      </w:r>
    </w:p>
    <w:p>
      <w:pPr>
        <w:shd w:fill="F2F2F2" w:val="clear"/>
        <w:spacing w:after="160" w:before="80"/>
        <w:ind w:left="200" w:right="200"/>
      </w:pPr>
      <w:r>
        <w:rPr>
          <w:rFonts w:ascii="Consolas" w:cs="Consolas" w:eastAsia="Consolas" w:hAnsi="Consolas"/>
          <w:color w:val="333333"/>
          <w:sz w:val="20"/>
          <w:szCs w:val="20"/>
        </w:rPr>
        <w:t xml:space="preserve">Invalid Schema</w:t>
      </w:r>
      <w:r>
        <w:br/>
        <w:t xml:space="preserve"/>
      </w:r>
      <w:r>
        <w:rPr>
          <w:rFonts w:ascii="Consolas" w:cs="Consolas" w:eastAsia="Consolas" w:hAnsi="Consolas"/>
          <w:color w:val="333333"/>
          <w:sz w:val="20"/>
          <w:szCs w:val="20"/>
        </w:rPr>
        <w:t xml:space="preserve">  - Missing required field</w:t>
      </w:r>
      <w:r>
        <w:br/>
        <w:t xml:space="preserve"/>
      </w:r>
      <w:r>
        <w:rPr>
          <w:rFonts w:ascii="Consolas" w:cs="Consolas" w:eastAsia="Consolas" w:hAnsi="Consolas"/>
          <w:color w:val="333333"/>
          <w:sz w:val="20"/>
          <w:szCs w:val="20"/>
        </w:rPr>
        <w:t xml:space="preserve">  - Invalid data type</w:t>
      </w:r>
      <w:r>
        <w:br/>
        <w:t xml:space="preserve"/>
      </w:r>
      <w:r>
        <w:rPr>
          <w:rFonts w:ascii="Consolas" w:cs="Consolas" w:eastAsia="Consolas" w:hAnsi="Consolas"/>
          <w:color w:val="333333"/>
          <w:sz w:val="20"/>
          <w:szCs w:val="20"/>
        </w:rPr>
        <w:t xml:space="preserve">  - Unsupported structure</w:t>
      </w:r>
      <w:r>
        <w:br/>
        <w:t xml:space="preserve"/>
      </w:r>
      <w:r>
        <w:rPr>
          <w:rFonts w:ascii="Consolas" w:cs="Consolas" w:eastAsia="Consolas" w:hAnsi="Consolas"/>
          <w:color w:val="333333"/>
          <w:sz w:val="20"/>
          <w:szCs w:val="20"/>
        </w:rPr>
        <w:t xml:space="preserve"/>
      </w:r>
      <w:r>
        <w:br/>
        <w:t xml:space="preserve"/>
      </w:r>
      <w:r>
        <w:rPr>
          <w:rFonts w:ascii="Consolas" w:cs="Consolas" w:eastAsia="Consolas" w:hAnsi="Consolas"/>
          <w:color w:val="333333"/>
          <w:sz w:val="20"/>
          <w:szCs w:val="20"/>
        </w:rPr>
        <w:t xml:space="preserve">Invalid Value</w:t>
      </w:r>
      <w:r>
        <w:br/>
        <w:t xml:space="preserve"/>
      </w:r>
      <w:r>
        <w:rPr>
          <w:rFonts w:ascii="Consolas" w:cs="Consolas" w:eastAsia="Consolas" w:hAnsi="Consolas"/>
          <w:color w:val="333333"/>
          <w:sz w:val="20"/>
          <w:szCs w:val="20"/>
        </w:rPr>
        <w:t xml:space="preserve">  - Invalid numeric value</w:t>
      </w:r>
      <w:r>
        <w:br/>
        <w:t xml:space="preserve"/>
      </w:r>
      <w:r>
        <w:rPr>
          <w:rFonts w:ascii="Consolas" w:cs="Consolas" w:eastAsia="Consolas" w:hAnsi="Consolas"/>
          <w:color w:val="333333"/>
          <w:sz w:val="20"/>
          <w:szCs w:val="20"/>
        </w:rPr>
        <w:t xml:space="preserve">  - Invalid date</w:t>
      </w:r>
      <w:r>
        <w:br/>
        <w:t xml:space="preserve"/>
      </w:r>
      <w:r>
        <w:rPr>
          <w:rFonts w:ascii="Consolas" w:cs="Consolas" w:eastAsia="Consolas" w:hAnsi="Consolas"/>
          <w:color w:val="333333"/>
          <w:sz w:val="20"/>
          <w:szCs w:val="20"/>
        </w:rPr>
        <w:t xml:space="preserve">  - Logically inconsistent market data</w:t>
      </w:r>
      <w:r>
        <w:br/>
        <w:t xml:space="preserve"/>
      </w:r>
      <w:r>
        <w:rPr>
          <w:rFonts w:ascii="Consolas" w:cs="Consolas" w:eastAsia="Consolas" w:hAnsi="Consolas"/>
          <w:color w:val="333333"/>
          <w:sz w:val="20"/>
          <w:szCs w:val="20"/>
        </w:rPr>
        <w:t xml:space="preserve"/>
      </w:r>
      <w:r>
        <w:br/>
        <w:t xml:space="preserve"/>
      </w:r>
      <w:r>
        <w:rPr>
          <w:rFonts w:ascii="Consolas" w:cs="Consolas" w:eastAsia="Consolas" w:hAnsi="Consolas"/>
          <w:color w:val="333333"/>
          <w:sz w:val="20"/>
          <w:szCs w:val="20"/>
        </w:rPr>
        <w:t xml:space="preserve">Dataset Error</w:t>
      </w:r>
      <w:r>
        <w:br/>
        <w:t xml:space="preserve"/>
      </w:r>
      <w:r>
        <w:rPr>
          <w:rFonts w:ascii="Consolas" w:cs="Consolas" w:eastAsia="Consolas" w:hAnsi="Consolas"/>
          <w:color w:val="333333"/>
          <w:sz w:val="20"/>
          <w:szCs w:val="20"/>
        </w:rPr>
        <w:t xml:space="preserve">  - Schema mismatch</w:t>
      </w:r>
      <w:r>
        <w:br/>
        <w:t xml:space="preserve"/>
      </w:r>
      <w:r>
        <w:rPr>
          <w:rFonts w:ascii="Consolas" w:cs="Consolas" w:eastAsia="Consolas" w:hAnsi="Consolas"/>
          <w:color w:val="333333"/>
          <w:sz w:val="20"/>
          <w:szCs w:val="20"/>
        </w:rPr>
        <w:t xml:space="preserve">  - Invalid record structure</w:t>
      </w:r>
      <w:r>
        <w:br/>
        <w:t xml:space="preserve"/>
      </w:r>
      <w:r>
        <w:rPr>
          <w:rFonts w:ascii="Consolas" w:cs="Consolas" w:eastAsia="Consolas" w:hAnsi="Consolas"/>
          <w:color w:val="333333"/>
          <w:sz w:val="20"/>
          <w:szCs w:val="20"/>
        </w:rPr>
        <w:t xml:space="preserve">  - Chronological inconsistency</w:t>
      </w:r>
    </w:p>
    <w:p>
      <w:pPr>
        <w:spacing w:after="160"/>
      </w:pPr>
      <w:r>
        <w:t xml:space="preserve">A clear validation failure now is a lot cheaper than a silent data problem surfacing three phases later.</w:t>
      </w:r>
    </w:p>
    <w:p>
      <w:pPr>
        <w:pStyle w:val="Heading1"/>
        <w:spacing w:after="160" w:before="360"/>
      </w:pPr>
      <w:r>
        <w:t xml:space="preserve">13. Testing</w:t>
      </w:r>
    </w:p>
    <w:p>
      <w:pPr>
        <w:spacing w:after="160"/>
      </w:pPr>
      <w:r>
        <w:t xml:space="preserve">Testing happened incrementally alongside the implementation, not as an afterthought at the end.</w:t>
      </w:r>
    </w:p>
    <w:p>
      <w:pPr>
        <w:pStyle w:val="Heading2"/>
        <w:spacing w:after="120" w:before="260"/>
      </w:pPr>
      <w:r>
        <w:t xml:space="preserve">13.1 Model testing</w:t>
      </w:r>
    </w:p>
    <w:p>
      <w:pPr>
        <w:spacing w:after="160"/>
      </w:pPr>
      <w:r>
        <w:t xml:space="preserve">Object creation, required fields, optional fields, data types, and default behavior.</w:t>
      </w:r>
    </w:p>
    <w:p>
      <w:pPr>
        <w:pStyle w:val="Heading2"/>
        <w:spacing w:after="120" w:before="260"/>
      </w:pPr>
      <w:r>
        <w:t xml:space="preserve">13.2 Validation testing</w:t>
      </w:r>
    </w:p>
    <w:p>
      <w:pPr>
        <w:spacing w:after="160"/>
      </w:pPr>
      <w:r>
        <w:t xml:space="preserve">Invalid inputs, missing fields, incorrect data types, malformed records, and boundary conditions.</w:t>
      </w:r>
    </w:p>
    <w:p>
      <w:pPr>
        <w:pStyle w:val="Heading2"/>
        <w:spacing w:after="120" w:before="260"/>
      </w:pPr>
      <w:r>
        <w:t xml:space="preserve">13.3 Normalization testing</w:t>
      </w:r>
    </w:p>
    <w:p>
      <w:pPr>
        <w:spacing w:after="160"/>
      </w:pPr>
      <w:r>
        <w:t xml:space="preserve">Confirming that different input variations actually converge on the same internal format.</w:t>
      </w:r>
    </w:p>
    <w:p>
      <w:pPr>
        <w:pStyle w:val="Heading2"/>
        <w:spacing w:after="120" w:before="260"/>
      </w:pPr>
      <w:r>
        <w:t xml:space="preserve">13.4 Dataset testing</w:t>
      </w:r>
    </w:p>
    <w:p>
      <w:pPr>
        <w:spacing w:after="160"/>
      </w:pPr>
      <w:r>
        <w:t xml:space="preserve">Record storage, dataset consistency, record order, and schema behavior.</w:t>
      </w:r>
    </w:p>
    <w:p>
      <w:pPr>
        <w:pStyle w:val="Heading2"/>
        <w:spacing w:after="120" w:before="260"/>
      </w:pPr>
      <w:r>
        <w:t xml:space="preserve">13.5 Integration testing</w:t>
      </w:r>
    </w:p>
    <w:p>
      <w:pPr>
        <w:spacing w:after="160"/>
      </w:pPr>
      <w:r>
        <w:t xml:space="preserve">Checking that validation, normalization, data models, and dataset structures actually work together as one coherent system, not just correctly in isolation:</w:t>
      </w:r>
    </w:p>
    <w:p>
      <w:pPr>
        <w:shd w:fill="F2F2F2" w:val="clear"/>
        <w:spacing w:after="160" w:before="80"/>
        <w:ind w:left="200" w:right="200"/>
      </w:pPr>
      <w:r>
        <w:rPr>
          <w:rFonts w:ascii="Consolas" w:cs="Consolas" w:eastAsia="Consolas" w:hAnsi="Consolas"/>
          <w:color w:val="333333"/>
          <w:sz w:val="20"/>
          <w:szCs w:val="20"/>
        </w:rPr>
        <w:t xml:space="preserve">Validation</w:t>
      </w:r>
      <w:r>
        <w:br/>
        <w:t xml:space="preserve"/>
      </w:r>
      <w:r>
        <w:rPr>
          <w:rFonts w:ascii="Consolas" w:cs="Consolas" w:eastAsia="Consolas" w:hAnsi="Consolas"/>
          <w:color w:val="333333"/>
          <w:sz w:val="20"/>
          <w:szCs w:val="20"/>
        </w:rPr>
        <w:t xml:space="preserve">  + Normalization</w:t>
      </w:r>
      <w:r>
        <w:br/>
        <w:t xml:space="preserve"/>
      </w:r>
      <w:r>
        <w:rPr>
          <w:rFonts w:ascii="Consolas" w:cs="Consolas" w:eastAsia="Consolas" w:hAnsi="Consolas"/>
          <w:color w:val="333333"/>
          <w:sz w:val="20"/>
          <w:szCs w:val="20"/>
        </w:rPr>
        <w:t xml:space="preserve">  + Data Models</w:t>
      </w:r>
      <w:r>
        <w:br/>
        <w:t xml:space="preserve"/>
      </w:r>
      <w:r>
        <w:rPr>
          <w:rFonts w:ascii="Consolas" w:cs="Consolas" w:eastAsia="Consolas" w:hAnsi="Consolas"/>
          <w:color w:val="333333"/>
          <w:sz w:val="20"/>
          <w:szCs w:val="20"/>
        </w:rPr>
        <w:t xml:space="preserve">  + Dataset Structures</w:t>
      </w:r>
    </w:p>
    <w:p>
      <w:pPr>
        <w:pStyle w:val="Heading1"/>
        <w:spacing w:after="160" w:before="360"/>
      </w:pPr>
      <w:r>
        <w:t xml:space="preserve">14. How This Feeds the Later Phases</w:t>
      </w:r>
    </w:p>
    <w:p>
      <w:pPr>
        <w:pStyle w:val="Heading2"/>
        <w:spacing w:after="120" w:before="260"/>
      </w:pPr>
      <w:r>
        <w:t xml:space="preserve">Phase 5 — Data Engineering</w:t>
      </w:r>
    </w:p>
    <w:p>
      <w:pPr>
        <w:spacing w:after="160"/>
      </w:pPr>
      <w:r>
        <w:t xml:space="preserve">Takes the structured market data from Phase 4 and runs it through loading, cleaning, and preparation:</w:t>
      </w:r>
    </w:p>
    <w:p>
      <w:pPr>
        <w:shd w:fill="F2F2F2" w:val="clear"/>
        <w:spacing w:after="160" w:before="80"/>
        <w:ind w:left="200" w:right="200"/>
      </w:pPr>
      <w:r>
        <w:rPr>
          <w:rFonts w:ascii="Consolas" w:cs="Consolas" w:eastAsia="Consolas" w:hAnsi="Consolas"/>
          <w:color w:val="333333"/>
          <w:sz w:val="20"/>
          <w:szCs w:val="20"/>
        </w:rPr>
        <w:t xml:space="preserve">Structured Data</w:t>
      </w:r>
      <w:r>
        <w:br/>
        <w:t xml:space="preserve"/>
      </w:r>
      <w:r>
        <w:rPr>
          <w:rFonts w:ascii="Consolas" w:cs="Consolas" w:eastAsia="Consolas" w:hAnsi="Consolas"/>
          <w:color w:val="333333"/>
          <w:sz w:val="20"/>
          <w:szCs w:val="20"/>
        </w:rPr>
        <w:t xml:space="preserve">  -&gt; Loading</w:t>
      </w:r>
      <w:r>
        <w:br/>
        <w:t xml:space="preserve"/>
      </w:r>
      <w:r>
        <w:rPr>
          <w:rFonts w:ascii="Consolas" w:cs="Consolas" w:eastAsia="Consolas" w:hAnsi="Consolas"/>
          <w:color w:val="333333"/>
          <w:sz w:val="20"/>
          <w:szCs w:val="20"/>
        </w:rPr>
        <w:t xml:space="preserve">  -&gt; Cleaning</w:t>
      </w:r>
      <w:r>
        <w:br/>
        <w:t xml:space="preserve"/>
      </w:r>
      <w:r>
        <w:rPr>
          <w:rFonts w:ascii="Consolas" w:cs="Consolas" w:eastAsia="Consolas" w:hAnsi="Consolas"/>
          <w:color w:val="333333"/>
          <w:sz w:val="20"/>
          <w:szCs w:val="20"/>
        </w:rPr>
        <w:t xml:space="preserve">  -&gt; Preparation</w:t>
      </w:r>
      <w:r>
        <w:br/>
        <w:t xml:space="preserve"/>
      </w:r>
      <w:r>
        <w:rPr>
          <w:rFonts w:ascii="Consolas" w:cs="Consolas" w:eastAsia="Consolas" w:hAnsi="Consolas"/>
          <w:color w:val="333333"/>
          <w:sz w:val="20"/>
          <w:szCs w:val="20"/>
        </w:rPr>
        <w:t xml:space="preserve">  -&gt; Validated Engineering Dataset</w:t>
      </w:r>
    </w:p>
    <w:p>
      <w:pPr>
        <w:pStyle w:val="Heading2"/>
        <w:spacing w:after="120" w:before="260"/>
      </w:pPr>
      <w:r>
        <w:t xml:space="preserve">Phase 6 — Feature Engineering</w:t>
      </w:r>
    </w:p>
    <w:p>
      <w:pPr>
        <w:spacing w:after="160"/>
      </w:pPr>
      <w:r>
        <w:t xml:space="preserve">Builds financial and market features on top of the prepared dataset — returns, price features, momentum, volatility, volume, technical indicators, calendar features, cross-asset features, and macroeconomic features.</w:t>
      </w:r>
    </w:p>
    <w:p>
      <w:pPr>
        <w:pStyle w:val="Heading2"/>
        <w:spacing w:after="120" w:before="260"/>
      </w:pPr>
      <w:r>
        <w:t xml:space="preserve">Phase 7 — Financial Analysis</w:t>
      </w:r>
    </w:p>
    <w:p>
      <w:pPr>
        <w:spacing w:after="160"/>
      </w:pPr>
      <w:r>
        <w:t xml:space="preserve">Interprets that processed information from a financial angle and produces signals meaningful for regime analysis.</w:t>
      </w:r>
    </w:p>
    <w:p>
      <w:pPr>
        <w:spacing w:after="160"/>
      </w:pPr>
      <w:r>
        <w:t xml:space="preserve">Every one of those phases is standing on what Phase 4 put in place.</w:t>
      </w:r>
    </w:p>
    <w:p>
      <w:pPr>
        <w:pStyle w:val="Heading1"/>
        <w:spacing w:after="160" w:before="360"/>
      </w:pPr>
      <w:r>
        <w:t xml:space="preserve">15. Key Design Decisions</w:t>
      </w:r>
    </w:p>
    <w:p>
      <w:pPr>
        <w:pStyle w:val="Heading2"/>
        <w:spacing w:after="120" w:before="260"/>
      </w:pPr>
      <w:r>
        <w:t xml:space="preserve">Structured over arbitrary data</w:t>
      </w:r>
    </w:p>
    <w:p>
      <w:pPr>
        <w:spacing w:after="160"/>
      </w:pPr>
      <w:r>
        <w:t xml:space="preserve">Data flows through defined contracts instead of letting uncontrolled structures move freely through the system.</w:t>
      </w:r>
    </w:p>
    <w:p>
      <w:pPr>
        <w:pStyle w:val="Heading2"/>
        <w:spacing w:after="120" w:before="260"/>
      </w:pPr>
      <w:r>
        <w:t xml:space="preserve">Validation at the boundary</w:t>
      </w:r>
    </w:p>
    <w:p>
      <w:pPr>
        <w:spacing w:after="160"/>
      </w:pPr>
      <w:r>
        <w:t xml:space="preserve">Catch data quality problems as early as possible — right where data enters, not several phases downstream.</w:t>
      </w:r>
    </w:p>
    <w:p>
      <w:pPr>
        <w:pStyle w:val="Heading2"/>
        <w:spacing w:after="120" w:before="260"/>
      </w:pPr>
      <w:r>
        <w:t xml:space="preserve">Separation of responsibilities</w:t>
      </w:r>
    </w:p>
    <w:p>
      <w:pPr>
        <w:spacing w:after="160"/>
      </w:pPr>
      <w:r>
        <w:t xml:space="preserve">Phase 4 focuses on representation and contracts. It deliberately doesn't try to own every cleaning or analytical operation itself.</w:t>
      </w:r>
    </w:p>
    <w:p>
      <w:pPr>
        <w:pStyle w:val="Heading2"/>
        <w:spacing w:after="120" w:before="260"/>
      </w:pPr>
      <w:r>
        <w:t xml:space="preserve">Extensibility</w:t>
      </w:r>
    </w:p>
    <w:p>
      <w:pPr>
        <w:spacing w:after="160"/>
      </w:pPr>
      <w:r>
        <w:t xml:space="preserve">The architecture leaves room for new data sources and market variables without a redesign.</w:t>
      </w:r>
    </w:p>
    <w:p>
      <w:pPr>
        <w:pStyle w:val="Heading2"/>
        <w:spacing w:after="120" w:before="260"/>
      </w:pPr>
      <w:r>
        <w:t xml:space="preserve">Chronological safety</w:t>
      </w:r>
    </w:p>
    <w:p>
      <w:pPr>
        <w:spacing w:after="160"/>
      </w:pPr>
      <w:r>
        <w:t xml:space="preserve">Time-series order is treated as a structural property worth protecting, not just an implementation detail.</w:t>
      </w:r>
    </w:p>
    <w:p>
      <w:pPr>
        <w:pStyle w:val="Heading2"/>
        <w:spacing w:after="120" w:before="260"/>
      </w:pPr>
      <w:r>
        <w:t xml:space="preserve">Downstream compatibility</w:t>
      </w:r>
    </w:p>
    <w:p>
      <w:pPr>
        <w:spacing w:after="160"/>
      </w:pPr>
      <w:r>
        <w:t xml:space="preserve">Built specifically with the engineering, feature, financial, and modelling phases in mind — not as a generic data layer bolted on afterward.</w:t>
      </w:r>
    </w:p>
    <w:p>
      <w:pPr>
        <w:pStyle w:val="Heading1"/>
        <w:spacing w:after="160" w:before="360"/>
      </w:pPr>
      <w:r>
        <w:t xml:space="preserve">16. What Phase 4 Delivered</w:t>
      </w:r>
    </w:p>
    <w:p>
      <w:pPr>
        <w:pStyle w:val="ListParagraph"/>
        <w:numPr>
          <w:ilvl w:val="0"/>
          <w:numId w:val="2"/>
        </w:numPr>
        <w:spacing w:after="60"/>
      </w:pPr>
      <w:r>
        <w:t xml:space="preserve">Structured market data representation</w:t>
      </w:r>
    </w:p>
    <w:p>
      <w:pPr>
        <w:pStyle w:val="ListParagraph"/>
        <w:numPr>
          <w:ilvl w:val="0"/>
          <w:numId w:val="2"/>
        </w:numPr>
        <w:spacing w:after="60"/>
      </w:pPr>
      <w:r>
        <w:t xml:space="preserve">Data schemas</w:t>
      </w:r>
    </w:p>
    <w:p>
      <w:pPr>
        <w:pStyle w:val="ListParagraph"/>
        <w:numPr>
          <w:ilvl w:val="0"/>
          <w:numId w:val="2"/>
        </w:numPr>
        <w:spacing w:after="60"/>
      </w:pPr>
      <w:r>
        <w:t xml:space="preserve">Validation mechanisms</w:t>
      </w:r>
    </w:p>
    <w:p>
      <w:pPr>
        <w:pStyle w:val="ListParagraph"/>
        <w:numPr>
          <w:ilvl w:val="0"/>
          <w:numId w:val="2"/>
        </w:numPr>
        <w:spacing w:after="60"/>
      </w:pPr>
      <w:r>
        <w:t xml:space="preserve">Normalization foundations</w:t>
      </w:r>
    </w:p>
    <w:p>
      <w:pPr>
        <w:pStyle w:val="ListParagraph"/>
        <w:numPr>
          <w:ilvl w:val="0"/>
          <w:numId w:val="2"/>
        </w:numPr>
        <w:spacing w:after="60"/>
      </w:pPr>
      <w:r>
        <w:t xml:space="preserve">Missing-data awareness</w:t>
      </w:r>
    </w:p>
    <w:p>
      <w:pPr>
        <w:pStyle w:val="ListParagraph"/>
        <w:numPr>
          <w:ilvl w:val="0"/>
          <w:numId w:val="2"/>
        </w:numPr>
        <w:spacing w:after="60"/>
      </w:pPr>
      <w:r>
        <w:t xml:space="preserve">Dataset abstractions</w:t>
      </w:r>
    </w:p>
    <w:p>
      <w:pPr>
        <w:pStyle w:val="ListParagraph"/>
        <w:numPr>
          <w:ilvl w:val="0"/>
          <w:numId w:val="2"/>
        </w:numPr>
        <w:spacing w:after="60"/>
      </w:pPr>
      <w:r>
        <w:t xml:space="preserve">Data contracts</w:t>
      </w:r>
    </w:p>
    <w:p>
      <w:pPr>
        <w:pStyle w:val="ListParagraph"/>
        <w:numPr>
          <w:ilvl w:val="0"/>
          <w:numId w:val="2"/>
        </w:numPr>
        <w:spacing w:after="60"/>
      </w:pPr>
      <w:r>
        <w:t xml:space="preserve">Chronological integrity</w:t>
      </w:r>
    </w:p>
    <w:p>
      <w:pPr>
        <w:pStyle w:val="ListParagraph"/>
        <w:numPr>
          <w:ilvl w:val="0"/>
          <w:numId w:val="2"/>
        </w:numPr>
        <w:spacing w:after="60"/>
      </w:pPr>
      <w:r>
        <w:t xml:space="preserve">Error handling</w:t>
      </w:r>
    </w:p>
    <w:p>
      <w:pPr>
        <w:pStyle w:val="ListParagraph"/>
        <w:numPr>
          <w:ilvl w:val="0"/>
          <w:numId w:val="2"/>
        </w:numPr>
        <w:spacing w:after="60"/>
      </w:pPr>
      <w:r>
        <w:t xml:space="preserve">Unit testing</w:t>
      </w:r>
    </w:p>
    <w:p>
      <w:pPr>
        <w:pStyle w:val="ListParagraph"/>
        <w:numPr>
          <w:ilvl w:val="0"/>
          <w:numId w:val="2"/>
        </w:numPr>
        <w:spacing w:after="60"/>
      </w:pPr>
      <w:r>
        <w:t xml:space="preserve">Integration validation</w:t>
      </w:r>
    </w:p>
    <w:p>
      <w:pPr>
        <w:spacing w:after="160"/>
      </w:pPr>
      <w:r>
        <w:t xml:space="preserve">The overall transformation this phase enables:</w:t>
      </w:r>
    </w:p>
    <w:p>
      <w:pPr>
        <w:shd w:fill="F2F2F2" w:val="clear"/>
        <w:spacing w:after="160" w:before="80"/>
        <w:ind w:left="200" w:right="200"/>
      </w:pPr>
      <w:r>
        <w:rPr>
          <w:rFonts w:ascii="Consolas" w:cs="Consolas" w:eastAsia="Consolas" w:hAnsi="Consolas"/>
          <w:color w:val="333333"/>
          <w:sz w:val="20"/>
          <w:szCs w:val="20"/>
        </w:rPr>
        <w:t xml:space="preserve">Raw Market Information</w:t>
      </w:r>
      <w:r>
        <w:br/>
        <w:t xml:space="preserve"/>
      </w:r>
      <w:r>
        <w:rPr>
          <w:rFonts w:ascii="Consolas" w:cs="Consolas" w:eastAsia="Consolas" w:hAnsi="Consolas"/>
          <w:color w:val="333333"/>
          <w:sz w:val="20"/>
          <w:szCs w:val="20"/>
        </w:rPr>
        <w:t xml:space="preserve">  -&gt; Validated Data</w:t>
      </w:r>
      <w:r>
        <w:br/>
        <w:t xml:space="preserve"/>
      </w:r>
      <w:r>
        <w:rPr>
          <w:rFonts w:ascii="Consolas" w:cs="Consolas" w:eastAsia="Consolas" w:hAnsi="Consolas"/>
          <w:color w:val="333333"/>
          <w:sz w:val="20"/>
          <w:szCs w:val="20"/>
        </w:rPr>
        <w:t xml:space="preserve">  -&gt; Normalized Representation</w:t>
      </w:r>
      <w:r>
        <w:br/>
        <w:t xml:space="preserve"/>
      </w:r>
      <w:r>
        <w:rPr>
          <w:rFonts w:ascii="Consolas" w:cs="Consolas" w:eastAsia="Consolas" w:hAnsi="Consolas"/>
          <w:color w:val="333333"/>
          <w:sz w:val="20"/>
          <w:szCs w:val="20"/>
        </w:rPr>
        <w:t xml:space="preserve">  -&gt; Structured Market Records</w:t>
      </w:r>
      <w:r>
        <w:br/>
        <w:t xml:space="preserve"/>
      </w:r>
      <w:r>
        <w:rPr>
          <w:rFonts w:ascii="Consolas" w:cs="Consolas" w:eastAsia="Consolas" w:hAnsi="Consolas"/>
          <w:color w:val="333333"/>
          <w:sz w:val="20"/>
          <w:szCs w:val="20"/>
        </w:rPr>
        <w:t xml:space="preserve">  -&gt; Consistent Dataset</w:t>
      </w:r>
      <w:r>
        <w:br/>
        <w:t xml:space="preserve"/>
      </w:r>
      <w:r>
        <w:rPr>
          <w:rFonts w:ascii="Consolas" w:cs="Consolas" w:eastAsia="Consolas" w:hAnsi="Consolas"/>
          <w:color w:val="333333"/>
          <w:sz w:val="20"/>
          <w:szCs w:val="20"/>
        </w:rPr>
        <w:t xml:space="preserve">  -&gt; Ready for Data Engineering</w:t>
      </w:r>
    </w:p>
    <w:p>
      <w:pPr>
        <w:pStyle w:val="Heading1"/>
        <w:spacing w:after="160" w:before="360"/>
      </w:pPr>
      <w:r>
        <w:t xml:space="preserve">17. Where Things Stand</w:t>
      </w:r>
    </w:p>
    <w:p>
      <w:pPr>
        <w:spacing w:after="160"/>
      </w:pPr>
      <w:r>
        <w:t xml:space="preserve">Phase 4 — Data Layer is complete, and it gives the project its core data foundation. Everything built afterward gets to operate on a consistent, structured, validated representation of financial market information instead of raw, inconsistent inputs.</w:t>
      </w:r>
    </w:p>
    <w:p>
      <w:pPr>
        <w:spacing w:after="160"/>
      </w:pPr>
      <w:r>
        <w:t xml:space="preserve">That matters more for a regime detection system than it might for a typical data pipeline, since so much of the downstream reasoning depends on reliable history, correct chronological order, and stable contracts between layers. Get those wrong at the base and everything built on top inherits the problem.</w:t>
      </w:r>
    </w:p>
    <w:p>
      <w:pPr>
        <w:spacing w:after="160"/>
      </w:pPr>
      <w:r>
        <w:t xml:space="preserve">With Phase 4 done, the project has a solid foundation for Phase 5 Data Engineering, and everything that follows it — feature engineering and financial analysis included.</w:t>
      </w:r>
    </w:p>
    <w:p>
      <w:pPr>
        <w:pStyle w:val="Heading1"/>
        <w:spacing w:after="160" w:before="360"/>
      </w:pPr>
      <w:r>
        <w:t xml:space="preserve">Final Status</w:t>
      </w:r>
    </w:p>
    <w:p>
      <w:pPr>
        <w:spacing w:after="160"/>
      </w:pPr>
      <w:r>
        <w:t xml:space="preserve">Phase 4 — Data Layer: completed.</w:t>
      </w:r>
    </w:p>
    <w:p>
      <w:pPr>
        <w:pStyle w:val="Heading2"/>
        <w:spacing w:after="120" w:before="260"/>
      </w:pPr>
      <w:r>
        <w:t xml:space="preserve">Next Phase</w:t>
      </w:r>
    </w:p>
    <w:p>
      <w:pPr>
        <w:spacing w:after="160"/>
      </w:pPr>
      <w:r>
        <w:t xml:space="preserve">Phase 5 — Data Engineering. Status: successfully completed after Phase 4.</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C" w:sz="6" w:space="4"/>
      </w:pBdr>
      <w:spacing w:after="160" w:before="360"/>
    </w:pPr>
    <w:rPr>
      <w:b/>
      <w:bCs/>
      <w:color w:val="1F4E5C"/>
      <w:sz w:val="30"/>
      <w:szCs w:val="30"/>
    </w:rPr>
  </w:style>
  <w:style w:type="paragraph" w:styleId="Heading2">
    <w:name w:val="Heading 2"/>
    <w:basedOn w:val="Normal"/>
    <w:next w:val="Normal"/>
    <w:qFormat/>
    <w:rPr>
      <w:b/>
      <w:bCs/>
      <w:color w:val="2E2E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2026-08-22T12:32:28.982Z</dcterms:created>
  <dcterms:modified xsi:type="dcterms:W3CDTF">2026-08-22T12:32:28.999Z</dcterms:modified>
</cp:coreProperties>
</file>

<file path=docProps/custom.xml><?xml version="1.0" encoding="utf-8"?>
<Properties xmlns="http://schemas.openxmlformats.org/officeDocument/2006/custom-properties" xmlns:vt="http://schemas.openxmlformats.org/officeDocument/2006/docPropsVTypes"/>
</file>