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44"/>
          <w:szCs w:val="44"/>
        </w:rPr>
        <w:t xml:space="preserve">TEST SUMMARY REPORT</w:t>
      </w:r>
    </w:p>
    <w:p>
      <w:pPr>
        <w:spacing w:after="300"/>
        <w:jc w:val="center"/>
      </w:pPr>
      <w:r>
        <w:rPr>
          <w:rFonts w:ascii="Calibri" w:cs="Calibri" w:eastAsia="Calibri" w:hAnsi="Calibri"/>
          <w:color w:val="444444"/>
          <w:sz w:val="24"/>
          <w:szCs w:val="24"/>
        </w:rPr>
        <w:t xml:space="preserve">OrangeHRM Manual QA Testing Project</w:t>
      </w:r>
    </w:p>
    <w:p>
      <w:pPr>
        <w:pStyle w:val="Heading1"/>
        <w:spacing w:after="120" w:before="240"/>
      </w:pPr>
      <w:r>
        <w:rPr>
          <w:rFonts w:ascii="Calibri" w:cs="Calibri" w:eastAsia="Calibri" w:hAnsi="Calibri"/>
          <w:b/>
          <w:bCs/>
          <w:color w:val="1F3864"/>
        </w:rPr>
        <w:t xml:space="preserve">1. Summary</w:t>
      </w:r>
    </w:p>
    <w:p>
      <w:pPr>
        <w:spacing w:after="120"/>
      </w:pPr>
      <w:r>
        <w:rPr>
          <w:rFonts w:ascii="Calibri" w:cs="Calibri" w:eastAsia="Calibri" w:hAnsi="Calibri"/>
        </w:rPr>
        <w:t xml:space="preserve">Manual functional testing was performed on the OrangeHRM Open Source demo application covering the Login, Admin (User Management), PIM, Leave, Recruitment, and Dashboard modules. A total of 33 test cases were designed and executed across one full test cycle. 29 test cases passed and 4 failed, resulting in 4 defects logged against the application.</w:t>
      </w:r>
    </w:p>
    <w:p>
      <w:pPr>
        <w:pStyle w:val="Heading1"/>
        <w:spacing w:after="120" w:before="240"/>
      </w:pPr>
      <w:r>
        <w:rPr>
          <w:rFonts w:ascii="Calibri" w:cs="Calibri" w:eastAsia="Calibri" w:hAnsi="Calibri"/>
          <w:b/>
          <w:bCs/>
          <w:color w:val="1F3864"/>
        </w:rPr>
        <w:t xml:space="preserve">2. Test Execution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c>
          <w:tcPr>
            <w:tcW w:type="dxa" w:w="4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Metric</w:t>
            </w:r>
          </w:p>
        </w:tc>
        <w:tc>
          <w:tcPr>
            <w:tcW w:type="dxa" w:w="48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Total Test Cases Designed</w:t>
            </w:r>
          </w:p>
        </w:tc>
        <w:tc>
          <w:tcPr>
            <w:tcW w:type="dxa" w:w="4850"/>
            <w:tcMar>
              <w:top w:type="dxa" w:w="80"/>
              <w:left w:type="dxa" w:w="100"/>
              <w:bottom w:type="dxa" w:w="80"/>
              <w:right w:type="dxa" w:w="100"/>
            </w:tcMar>
          </w:tcPr>
          <w:p>
            <w:r>
              <w:rPr>
                <w:rFonts w:ascii="Calibri" w:cs="Calibri" w:eastAsia="Calibri" w:hAnsi="Calibri"/>
                <w:b w:val="false"/>
                <w:bCs w:val="false"/>
                <w:color w:val="000000"/>
                <w:sz w:val="20"/>
                <w:szCs w:val="20"/>
              </w:rPr>
              <w:t xml:space="preserve">33</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Total Test Cases Executed</w:t>
            </w:r>
          </w:p>
        </w:tc>
        <w:tc>
          <w:tcPr>
            <w:tcW w:type="dxa" w:w="4850"/>
            <w:tcMar>
              <w:top w:type="dxa" w:w="80"/>
              <w:left w:type="dxa" w:w="100"/>
              <w:bottom w:type="dxa" w:w="80"/>
              <w:right w:type="dxa" w:w="100"/>
            </w:tcMar>
          </w:tcPr>
          <w:p>
            <w:r>
              <w:rPr>
                <w:rFonts w:ascii="Calibri" w:cs="Calibri" w:eastAsia="Calibri" w:hAnsi="Calibri"/>
                <w:b w:val="false"/>
                <w:bCs w:val="false"/>
                <w:color w:val="000000"/>
                <w:sz w:val="20"/>
                <w:szCs w:val="20"/>
              </w:rPr>
              <w:t xml:space="preserve">33</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Passed</w:t>
            </w:r>
          </w:p>
        </w:tc>
        <w:tc>
          <w:tcPr>
            <w:tcW w:type="dxa" w:w="4850"/>
            <w:tcMar>
              <w:top w:type="dxa" w:w="80"/>
              <w:left w:type="dxa" w:w="100"/>
              <w:bottom w:type="dxa" w:w="80"/>
              <w:right w:type="dxa" w:w="100"/>
            </w:tcMar>
          </w:tcPr>
          <w:p>
            <w:r>
              <w:rPr>
                <w:rFonts w:ascii="Calibri" w:cs="Calibri" w:eastAsia="Calibri" w:hAnsi="Calibri"/>
                <w:b w:val="false"/>
                <w:bCs w:val="false"/>
                <w:color w:val="000000"/>
                <w:sz w:val="20"/>
                <w:szCs w:val="20"/>
              </w:rPr>
              <w:t xml:space="preserve">29 (87.9%)</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Failed</w:t>
            </w:r>
          </w:p>
        </w:tc>
        <w:tc>
          <w:tcPr>
            <w:tcW w:type="dxa" w:w="4850"/>
            <w:tcMar>
              <w:top w:type="dxa" w:w="80"/>
              <w:left w:type="dxa" w:w="100"/>
              <w:bottom w:type="dxa" w:w="80"/>
              <w:right w:type="dxa" w:w="100"/>
            </w:tcMar>
          </w:tcPr>
          <w:p>
            <w:r>
              <w:rPr>
                <w:rFonts w:ascii="Calibri" w:cs="Calibri" w:eastAsia="Calibri" w:hAnsi="Calibri"/>
                <w:b w:val="false"/>
                <w:bCs w:val="false"/>
                <w:color w:val="000000"/>
                <w:sz w:val="20"/>
                <w:szCs w:val="20"/>
              </w:rPr>
              <w:t xml:space="preserve">4 (12.1%)</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Blocked / Not Executed</w:t>
            </w:r>
          </w:p>
        </w:tc>
        <w:tc>
          <w:tcPr>
            <w:tcW w:type="dxa" w:w="4850"/>
            <w:tcMar>
              <w:top w:type="dxa" w:w="80"/>
              <w:left w:type="dxa" w:w="100"/>
              <w:bottom w:type="dxa" w:w="80"/>
              <w:right w:type="dxa" w:w="100"/>
            </w:tcMar>
          </w:tcPr>
          <w:p>
            <w:r>
              <w:rPr>
                <w:rFonts w:ascii="Calibri" w:cs="Calibri" w:eastAsia="Calibri" w:hAnsi="Calibri"/>
                <w:b w:val="false"/>
                <w:bCs w:val="false"/>
                <w:color w:val="000000"/>
                <w:sz w:val="20"/>
                <w:szCs w:val="20"/>
              </w:rPr>
              <w:t xml:space="preserve">0</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Total Defects Logged</w:t>
            </w:r>
          </w:p>
        </w:tc>
        <w:tc>
          <w:tcPr>
            <w:tcW w:type="dxa" w:w="485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Defects by Severity</w:t>
            </w:r>
          </w:p>
        </w:tc>
        <w:tc>
          <w:tcPr>
            <w:tcW w:type="dxa" w:w="4850"/>
            <w:tcMar>
              <w:top w:type="dxa" w:w="80"/>
              <w:left w:type="dxa" w:w="100"/>
              <w:bottom w:type="dxa" w:w="80"/>
              <w:right w:type="dxa" w:w="100"/>
            </w:tcMar>
          </w:tcPr>
          <w:p>
            <w:r>
              <w:rPr>
                <w:rFonts w:ascii="Calibri" w:cs="Calibri" w:eastAsia="Calibri" w:hAnsi="Calibri"/>
                <w:b w:val="false"/>
                <w:bCs w:val="false"/>
                <w:color w:val="000000"/>
                <w:sz w:val="20"/>
                <w:szCs w:val="20"/>
              </w:rPr>
              <w:t xml:space="preserve">High: 1  |  Medium: 2  |  Low: 1</w:t>
            </w:r>
          </w:p>
        </w:tc>
      </w:tr>
    </w:tbl>
    <w:p>
      <w:pPr>
        <w:pStyle w:val="Heading1"/>
        <w:spacing w:after="120" w:before="240"/>
      </w:pPr>
      <w:r>
        <w:rPr>
          <w:rFonts w:ascii="Calibri" w:cs="Calibri" w:eastAsia="Calibri" w:hAnsi="Calibri"/>
          <w:b/>
          <w:bCs/>
          <w:color w:val="1F3864"/>
        </w:rPr>
        <w:t xml:space="preserve">3. Module-wise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1783"/>
        <w:gridCol w:w="1783"/>
        <w:gridCol w:w="1784"/>
      </w:tblGrid>
      <w:tr>
        <w:tc>
          <w:tcPr>
            <w:tcW w:type="dxa" w:w="4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Module</w:t>
            </w:r>
          </w:p>
        </w:tc>
        <w:tc>
          <w:tcPr>
            <w:tcW w:type="dxa" w:w="1783"/>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Total</w:t>
            </w:r>
          </w:p>
        </w:tc>
        <w:tc>
          <w:tcPr>
            <w:tcW w:type="dxa" w:w="1783"/>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Passed</w:t>
            </w:r>
          </w:p>
        </w:tc>
        <w:tc>
          <w:tcPr>
            <w:tcW w:type="dxa" w:w="1784"/>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Failed</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Login</w:t>
            </w:r>
          </w:p>
        </w:tc>
        <w:tc>
          <w:tcPr>
            <w:tcW w:type="dxa" w:w="1783"/>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c>
          <w:tcPr>
            <w:tcW w:type="dxa" w:w="1783"/>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1784"/>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 User Management</w:t>
            </w:r>
          </w:p>
        </w:tc>
        <w:tc>
          <w:tcPr>
            <w:tcW w:type="dxa" w:w="1783"/>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1783"/>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1784"/>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PIM</w:t>
            </w:r>
          </w:p>
        </w:tc>
        <w:tc>
          <w:tcPr>
            <w:tcW w:type="dxa" w:w="1783"/>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1783"/>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1784"/>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Leave</w:t>
            </w:r>
          </w:p>
        </w:tc>
        <w:tc>
          <w:tcPr>
            <w:tcW w:type="dxa" w:w="1783"/>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1783"/>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1784"/>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Recruitment</w:t>
            </w:r>
          </w:p>
        </w:tc>
        <w:tc>
          <w:tcPr>
            <w:tcW w:type="dxa" w:w="1783"/>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1783"/>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1784"/>
            <w:tcMar>
              <w:top w:type="dxa" w:w="80"/>
              <w:left w:type="dxa" w:w="100"/>
              <w:bottom w:type="dxa" w:w="80"/>
              <w:right w:type="dxa" w:w="100"/>
            </w:tcMar>
          </w:tcPr>
          <w:p>
            <w:r>
              <w:rPr>
                <w:rFonts w:ascii="Calibri" w:cs="Calibri" w:eastAsia="Calibri" w:hAnsi="Calibri"/>
                <w:b w:val="false"/>
                <w:bCs w:val="false"/>
                <w:color w:val="000000"/>
                <w:sz w:val="20"/>
                <w:szCs w:val="20"/>
              </w:rPr>
              <w:t xml:space="preserve">0</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Dashboard</w:t>
            </w:r>
          </w:p>
        </w:tc>
        <w:tc>
          <w:tcPr>
            <w:tcW w:type="dxa" w:w="1783"/>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1783"/>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1784"/>
            <w:tcMar>
              <w:top w:type="dxa" w:w="80"/>
              <w:left w:type="dxa" w:w="100"/>
              <w:bottom w:type="dxa" w:w="80"/>
              <w:right w:type="dxa" w:w="100"/>
            </w:tcMar>
          </w:tcPr>
          <w:p>
            <w:r>
              <w:rPr>
                <w:rFonts w:ascii="Calibri" w:cs="Calibri" w:eastAsia="Calibri" w:hAnsi="Calibri"/>
                <w:b w:val="false"/>
                <w:bCs w:val="false"/>
                <w:color w:val="000000"/>
                <w:sz w:val="20"/>
                <w:szCs w:val="20"/>
              </w:rPr>
              <w:t xml:space="preserve">0</w:t>
            </w:r>
          </w:p>
        </w:tc>
      </w:tr>
    </w:tbl>
    <w:p>
      <w:pPr>
        <w:pStyle w:val="Heading1"/>
        <w:spacing w:after="120" w:before="240"/>
      </w:pPr>
      <w:r>
        <w:rPr>
          <w:rFonts w:ascii="Calibri" w:cs="Calibri" w:eastAsia="Calibri" w:hAnsi="Calibri"/>
          <w:b/>
          <w:bCs/>
          <w:color w:val="1F3864"/>
        </w:rPr>
        <w:t xml:space="preserve">4. Key Defects Identified</w:t>
      </w:r>
    </w:p>
    <w:p>
      <w:pPr>
        <w:pStyle w:val="ListParagraph"/>
        <w:numPr>
          <w:ilvl w:val="0"/>
          <w:numId w:val="2"/>
        </w:numPr>
        <w:spacing w:after="60"/>
      </w:pPr>
      <w:r>
        <w:rPr>
          <w:rFonts w:ascii="Calibri" w:cs="Calibri" w:eastAsia="Calibri" w:hAnsi="Calibri"/>
        </w:rPr>
        <w:t xml:space="preserve">BUG-001 (High): Leave module accepts an invalid date range where 'To Date' precedes 'From Date' with no validation.</w:t>
      </w:r>
    </w:p>
    <w:p>
      <w:pPr>
        <w:pStyle w:val="ListParagraph"/>
        <w:numPr>
          <w:ilvl w:val="0"/>
          <w:numId w:val="2"/>
        </w:numPr>
        <w:spacing w:after="60"/>
      </w:pPr>
      <w:r>
        <w:rPr>
          <w:rFonts w:ascii="Calibri" w:cs="Calibri" w:eastAsia="Calibri" w:hAnsi="Calibri"/>
        </w:rPr>
        <w:t xml:space="preserve">BUG-002 (Medium): Duplicate username validation on Add User can be bypassed under certain retry sequences.</w:t>
      </w:r>
    </w:p>
    <w:p>
      <w:pPr>
        <w:pStyle w:val="ListParagraph"/>
        <w:numPr>
          <w:ilvl w:val="0"/>
          <w:numId w:val="2"/>
        </w:numPr>
        <w:spacing w:after="60"/>
      </w:pPr>
      <w:r>
        <w:rPr>
          <w:rFonts w:ascii="Calibri" w:cs="Calibri" w:eastAsia="Calibri" w:hAnsi="Calibri"/>
        </w:rPr>
        <w:t xml:space="preserve">BUG-003 (Low): No immediate client-side validation for oversized profile picture uploads in PIM.</w:t>
      </w:r>
    </w:p>
    <w:p>
      <w:pPr>
        <w:pStyle w:val="ListParagraph"/>
        <w:numPr>
          <w:ilvl w:val="0"/>
          <w:numId w:val="2"/>
        </w:numPr>
        <w:spacing w:after="60"/>
      </w:pPr>
      <w:r>
        <w:rPr>
          <w:rFonts w:ascii="Calibri" w:cs="Calibri" w:eastAsia="Calibri" w:hAnsi="Calibri"/>
        </w:rPr>
        <w:t xml:space="preserve">BUG-004 (Medium): Inconsistent error handling for malformed/injection-style login input.</w:t>
      </w:r>
    </w:p>
    <w:p>
      <w:pPr>
        <w:spacing w:after="120"/>
      </w:pPr>
      <w:r>
        <w:rPr>
          <w:rFonts w:ascii="Calibri" w:cs="Calibri" w:eastAsia="Calibri" w:hAnsi="Calibri"/>
        </w:rPr>
        <w:t xml:space="preserve">Full defect details, reproduction steps, and evidence are documented in the Bug Report Log.</w:t>
      </w:r>
    </w:p>
    <w:p>
      <w:pPr>
        <w:pStyle w:val="Heading1"/>
        <w:spacing w:after="120" w:before="240"/>
      </w:pPr>
      <w:r>
        <w:rPr>
          <w:rFonts w:ascii="Calibri" w:cs="Calibri" w:eastAsia="Calibri" w:hAnsi="Calibri"/>
          <w:b/>
          <w:bCs/>
          <w:color w:val="1F3864"/>
        </w:rPr>
        <w:t xml:space="preserve">5. Test Coverage Assessment</w:t>
      </w:r>
    </w:p>
    <w:p>
      <w:pPr>
        <w:spacing w:after="120"/>
      </w:pPr>
      <w:r>
        <w:rPr>
          <w:rFonts w:ascii="Calibri" w:cs="Calibri" w:eastAsia="Calibri" w:hAnsi="Calibri"/>
        </w:rPr>
        <w:t xml:space="preserve">All planned functional scenarios in scope (per the Test Plan) were executed, including positive, negative, and boundary cases for each targeted module. Coverage of Login and PIM was prioritized given their High-priority classification.</w:t>
      </w:r>
    </w:p>
    <w:p>
      <w:pPr>
        <w:pStyle w:val="Heading1"/>
        <w:spacing w:after="120" w:before="240"/>
      </w:pPr>
      <w:r>
        <w:rPr>
          <w:rFonts w:ascii="Calibri" w:cs="Calibri" w:eastAsia="Calibri" w:hAnsi="Calibri"/>
          <w:b/>
          <w:bCs/>
          <w:color w:val="1F3864"/>
        </w:rPr>
        <w:t xml:space="preserve">6. Recommendations</w:t>
      </w:r>
    </w:p>
    <w:p>
      <w:pPr>
        <w:pStyle w:val="ListParagraph"/>
        <w:numPr>
          <w:ilvl w:val="0"/>
          <w:numId w:val="2"/>
        </w:numPr>
        <w:spacing w:after="60"/>
      </w:pPr>
      <w:r>
        <w:rPr>
          <w:rFonts w:ascii="Calibri" w:cs="Calibri" w:eastAsia="Calibri" w:hAnsi="Calibri"/>
        </w:rPr>
        <w:t xml:space="preserve">Fix and retest BUG-001 before the next release — date-range validation is a High severity gap.</w:t>
      </w:r>
    </w:p>
    <w:p>
      <w:pPr>
        <w:pStyle w:val="ListParagraph"/>
        <w:numPr>
          <w:ilvl w:val="0"/>
          <w:numId w:val="2"/>
        </w:numPr>
        <w:spacing w:after="60"/>
      </w:pPr>
      <w:r>
        <w:rPr>
          <w:rFonts w:ascii="Calibri" w:cs="Calibri" w:eastAsia="Calibri" w:hAnsi="Calibri"/>
        </w:rPr>
        <w:t xml:space="preserve">Add server-side enforcement (not just UI validation) for username uniqueness to close BUG-002.</w:t>
      </w:r>
    </w:p>
    <w:p>
      <w:pPr>
        <w:pStyle w:val="ListParagraph"/>
        <w:numPr>
          <w:ilvl w:val="0"/>
          <w:numId w:val="2"/>
        </w:numPr>
        <w:spacing w:after="60"/>
      </w:pPr>
      <w:r>
        <w:rPr>
          <w:rFonts w:ascii="Calibri" w:cs="Calibri" w:eastAsia="Calibri" w:hAnsi="Calibri"/>
        </w:rPr>
        <w:t xml:space="preserve">Extend regression coverage to file upload edge cases across all modules, not just PIM.</w:t>
      </w:r>
    </w:p>
    <w:p>
      <w:pPr>
        <w:pStyle w:val="ListParagraph"/>
        <w:numPr>
          <w:ilvl w:val="0"/>
          <w:numId w:val="2"/>
        </w:numPr>
        <w:spacing w:after="60"/>
      </w:pPr>
      <w:r>
        <w:rPr>
          <w:rFonts w:ascii="Calibri" w:cs="Calibri" w:eastAsia="Calibri" w:hAnsi="Calibri"/>
        </w:rPr>
        <w:t xml:space="preserve">Introduce automated regression checks for the Login and Leave modules given their high change frequency.</w:t>
      </w:r>
    </w:p>
    <w:p>
      <w:pPr>
        <w:pStyle w:val="Heading1"/>
        <w:spacing w:after="120" w:before="240"/>
      </w:pPr>
      <w:r>
        <w:rPr>
          <w:rFonts w:ascii="Calibri" w:cs="Calibri" w:eastAsia="Calibri" w:hAnsi="Calibri"/>
          <w:b/>
          <w:bCs/>
          <w:color w:val="1F3864"/>
        </w:rPr>
        <w:t xml:space="preserve">7. Exit Criteria Evaluation</w:t>
      </w:r>
    </w:p>
    <w:p>
      <w:pPr>
        <w:spacing w:after="120"/>
      </w:pPr>
      <w:r>
        <w:rPr>
          <w:rFonts w:ascii="Calibri" w:cs="Calibri" w:eastAsia="Calibri" w:hAnsi="Calibri"/>
        </w:rPr>
        <w:t xml:space="preserve">Exit criteria defined in the Test Plan (100% planned execution, zero open Critical defects) were largely met. One High severity defect (BUG-001) remains open and is recommended for fix-and-retest prior to sign-off.</w:t>
      </w:r>
    </w:p>
    <w:p>
      <w:pPr>
        <w:pStyle w:val="Heading1"/>
        <w:spacing w:after="120" w:before="240"/>
      </w:pPr>
      <w:r>
        <w:rPr>
          <w:rFonts w:ascii="Calibri" w:cs="Calibri" w:eastAsia="Calibri" w:hAnsi="Calibri"/>
          <w:b/>
          <w:bCs/>
          <w:color w:val="1F3864"/>
        </w:rPr>
        <w:t xml:space="preserve">8. Conclusion</w:t>
      </w:r>
    </w:p>
    <w:p>
      <w:pPr>
        <w:spacing w:after="120"/>
      </w:pPr>
      <w:r>
        <w:rPr>
          <w:rFonts w:ascii="Calibri" w:cs="Calibri" w:eastAsia="Calibri" w:hAnsi="Calibri"/>
        </w:rPr>
        <w:t xml:space="preserve">The OrangeHRM demo application is functionally stable across the tested modules, with a small number of validation-related defects identified. This project demonstrates a complete manual QA lifecycle: test planning, test case design, execution, defect management, and reporting.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2026-09-16T06:32:48.061Z</dcterms:created>
  <dcterms:modified xsi:type="dcterms:W3CDTF">2026-09-16T06:32:48.070Z</dcterms:modified>
</cp:coreProperties>
</file>

<file path=docProps/custom.xml><?xml version="1.0" encoding="utf-8"?>
<Properties xmlns="http://schemas.openxmlformats.org/officeDocument/2006/custom-properties" xmlns:vt="http://schemas.openxmlformats.org/officeDocument/2006/docPropsVTypes"/>
</file>