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21" w:rsidRDefault="00BA5921" w:rsidP="00095FC5">
      <w:pPr>
        <w:spacing w:line="700" w:lineRule="exact"/>
        <w:jc w:val="center"/>
        <w:rPr>
          <w:rFonts w:ascii="方正小标宋简体" w:eastAsia="方正小标宋简体"/>
          <w:sz w:val="32"/>
          <w:szCs w:val="32"/>
        </w:rPr>
      </w:pPr>
      <w:r w:rsidRPr="00095FC5">
        <w:rPr>
          <w:rFonts w:ascii="方正小标宋简体" w:eastAsia="方正小标宋简体" w:hint="eastAsia"/>
          <w:sz w:val="32"/>
          <w:szCs w:val="32"/>
        </w:rPr>
        <w:t>温江区人口</w:t>
      </w:r>
      <w:r>
        <w:rPr>
          <w:rFonts w:ascii="方正小标宋简体" w:eastAsia="方正小标宋简体" w:hint="eastAsia"/>
          <w:sz w:val="32"/>
          <w:szCs w:val="32"/>
        </w:rPr>
        <w:t>容量分布专题分析</w:t>
      </w:r>
    </w:p>
    <w:p w:rsidR="00BA5921" w:rsidRDefault="00BA5921" w:rsidP="00095FC5">
      <w:pPr>
        <w:spacing w:line="70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工作协调会</w:t>
      </w:r>
      <w:r w:rsidRPr="00095FC5">
        <w:rPr>
          <w:rFonts w:ascii="方正小标宋简体" w:eastAsia="方正小标宋简体" w:hint="eastAsia"/>
          <w:sz w:val="32"/>
          <w:szCs w:val="32"/>
        </w:rPr>
        <w:t>会议</w:t>
      </w:r>
      <w:r>
        <w:rPr>
          <w:rFonts w:ascii="方正小标宋简体" w:eastAsia="方正小标宋简体" w:hint="eastAsia"/>
          <w:sz w:val="32"/>
          <w:szCs w:val="32"/>
        </w:rPr>
        <w:t>纪要</w:t>
      </w:r>
    </w:p>
    <w:p w:rsidR="00BA5921" w:rsidRDefault="00BA5921" w:rsidP="00C10A20">
      <w:pPr>
        <w:ind w:firstLineChars="200" w:firstLine="31680"/>
        <w:rPr>
          <w:rFonts w:ascii="仿宋_GB2312" w:eastAsia="仿宋_GB2312" w:hAnsi="华文楷体"/>
          <w:sz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0"/>
          <w:attr w:name="Year" w:val="2011"/>
        </w:smartTagPr>
        <w:r w:rsidRPr="004607E2">
          <w:rPr>
            <w:rFonts w:ascii="仿宋_GB2312" w:eastAsia="仿宋_GB2312" w:hAnsi="华文楷体"/>
            <w:sz w:val="28"/>
          </w:rPr>
          <w:t>201</w:t>
        </w:r>
        <w:r>
          <w:rPr>
            <w:rFonts w:ascii="仿宋_GB2312" w:eastAsia="仿宋_GB2312" w:hAnsi="华文楷体"/>
            <w:sz w:val="28"/>
          </w:rPr>
          <w:t>1</w:t>
        </w:r>
        <w:r w:rsidRPr="004607E2">
          <w:rPr>
            <w:rFonts w:ascii="仿宋_GB2312" w:eastAsia="仿宋_GB2312" w:hAnsi="华文楷体" w:hint="eastAsia"/>
            <w:sz w:val="28"/>
          </w:rPr>
          <w:t>年</w:t>
        </w:r>
        <w:r w:rsidRPr="004607E2">
          <w:rPr>
            <w:rFonts w:ascii="仿宋_GB2312" w:eastAsia="仿宋_GB2312" w:hAnsi="华文楷体"/>
            <w:sz w:val="28"/>
          </w:rPr>
          <w:t>1</w:t>
        </w:r>
        <w:r>
          <w:rPr>
            <w:rFonts w:ascii="仿宋_GB2312" w:eastAsia="仿宋_GB2312" w:hAnsi="华文楷体"/>
            <w:sz w:val="28"/>
          </w:rPr>
          <w:t>0</w:t>
        </w:r>
        <w:r w:rsidRPr="004607E2">
          <w:rPr>
            <w:rFonts w:ascii="仿宋_GB2312" w:eastAsia="仿宋_GB2312" w:hAnsi="华文楷体" w:hint="eastAsia"/>
            <w:sz w:val="28"/>
          </w:rPr>
          <w:t>月</w:t>
        </w:r>
        <w:r w:rsidRPr="004607E2">
          <w:rPr>
            <w:rFonts w:ascii="仿宋_GB2312" w:eastAsia="仿宋_GB2312" w:hAnsi="华文楷体"/>
            <w:sz w:val="28"/>
          </w:rPr>
          <w:t>2</w:t>
        </w:r>
        <w:r>
          <w:rPr>
            <w:rFonts w:ascii="仿宋_GB2312" w:eastAsia="仿宋_GB2312" w:hAnsi="华文楷体"/>
            <w:sz w:val="28"/>
          </w:rPr>
          <w:t>5</w:t>
        </w:r>
        <w:r w:rsidRPr="004607E2">
          <w:rPr>
            <w:rFonts w:ascii="仿宋_GB2312" w:eastAsia="仿宋_GB2312" w:hAnsi="华文楷体" w:hint="eastAsia"/>
            <w:sz w:val="28"/>
          </w:rPr>
          <w:t>日</w:t>
        </w:r>
      </w:smartTag>
      <w:r>
        <w:rPr>
          <w:rFonts w:ascii="仿宋_GB2312" w:eastAsia="仿宋_GB2312" w:hAnsi="华文楷体" w:hint="eastAsia"/>
          <w:sz w:val="28"/>
        </w:rPr>
        <w:t>上</w:t>
      </w:r>
      <w:r w:rsidRPr="004607E2">
        <w:rPr>
          <w:rFonts w:ascii="仿宋_GB2312" w:eastAsia="仿宋_GB2312" w:hAnsi="华文楷体" w:hint="eastAsia"/>
          <w:sz w:val="28"/>
        </w:rPr>
        <w:t>午</w:t>
      </w:r>
      <w:r>
        <w:rPr>
          <w:rFonts w:ascii="仿宋_GB2312" w:eastAsia="仿宋_GB2312" w:hAnsi="华文楷体" w:hint="eastAsia"/>
          <w:sz w:val="28"/>
        </w:rPr>
        <w:t>，局规划用地管理科、建筑园林规划管理科、公共服务推进科、规划信息服务中心在</w:t>
      </w:r>
      <w:r>
        <w:rPr>
          <w:rFonts w:ascii="仿宋_GB2312" w:eastAsia="仿宋_GB2312" w:hAnsi="华文楷体"/>
          <w:sz w:val="28"/>
        </w:rPr>
        <w:t>21001</w:t>
      </w:r>
      <w:r>
        <w:rPr>
          <w:rFonts w:ascii="仿宋_GB2312" w:eastAsia="仿宋_GB2312" w:hAnsi="华文楷体" w:hint="eastAsia"/>
          <w:sz w:val="28"/>
        </w:rPr>
        <w:t>会议室就深入落实李局长关于形成</w:t>
      </w:r>
      <w:r w:rsidRPr="004E38DE">
        <w:rPr>
          <w:rFonts w:ascii="仿宋_GB2312" w:eastAsia="仿宋_GB2312" w:hAnsi="华文楷体" w:hint="eastAsia"/>
          <w:sz w:val="28"/>
        </w:rPr>
        <w:t>温江区人口</w:t>
      </w:r>
      <w:r>
        <w:rPr>
          <w:rFonts w:ascii="仿宋_GB2312" w:eastAsia="仿宋_GB2312" w:hAnsi="华文楷体" w:hint="eastAsia"/>
          <w:sz w:val="28"/>
        </w:rPr>
        <w:t>容量</w:t>
      </w:r>
      <w:r w:rsidRPr="004E38DE">
        <w:rPr>
          <w:rFonts w:ascii="仿宋_GB2312" w:eastAsia="仿宋_GB2312" w:hAnsi="华文楷体" w:hint="eastAsia"/>
          <w:sz w:val="28"/>
        </w:rPr>
        <w:t>分布</w:t>
      </w:r>
      <w:r>
        <w:rPr>
          <w:rFonts w:ascii="仿宋_GB2312" w:eastAsia="仿宋_GB2312" w:hAnsi="华文楷体" w:hint="eastAsia"/>
          <w:sz w:val="28"/>
        </w:rPr>
        <w:t>专题图的指示精神召开了工作协调会，会议就工作要求、目标及时间安排达成以下意见：</w:t>
      </w:r>
    </w:p>
    <w:p w:rsidR="00BA5921" w:rsidRDefault="00BA5921" w:rsidP="000F196B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近期</w:t>
      </w:r>
      <w:r w:rsidRPr="004E38DE">
        <w:rPr>
          <w:rFonts w:ascii="仿宋_GB2312" w:eastAsia="仿宋_GB2312" w:hAnsi="华文楷体" w:hint="eastAsia"/>
          <w:sz w:val="28"/>
        </w:rPr>
        <w:t>完成人口专题图及分析成果。</w:t>
      </w:r>
    </w:p>
    <w:p w:rsidR="00BA5921" w:rsidRPr="00004016" w:rsidRDefault="00BA5921" w:rsidP="000F196B">
      <w:pPr>
        <w:pStyle w:val="ListParagraph"/>
        <w:numPr>
          <w:ilvl w:val="0"/>
          <w:numId w:val="2"/>
        </w:numPr>
        <w:ind w:left="1128" w:firstLineChars="0" w:hanging="567"/>
        <w:rPr>
          <w:rFonts w:ascii="仿宋_GB2312" w:eastAsia="仿宋_GB2312" w:hAnsi="华文楷体"/>
          <w:sz w:val="28"/>
        </w:rPr>
      </w:pPr>
      <w:r w:rsidRPr="00004016">
        <w:rPr>
          <w:rFonts w:ascii="仿宋_GB2312" w:eastAsia="仿宋_GB2312" w:hAnsi="华文楷体" w:hint="eastAsia"/>
          <w:sz w:val="28"/>
        </w:rPr>
        <w:t>目的：结合刘太格先生</w:t>
      </w:r>
      <w:r>
        <w:rPr>
          <w:rFonts w:ascii="仿宋_GB2312" w:eastAsia="仿宋_GB2312" w:hAnsi="华文楷体" w:hint="eastAsia"/>
          <w:sz w:val="28"/>
        </w:rPr>
        <w:t>主要观点和温江全区</w:t>
      </w:r>
      <w:r w:rsidRPr="00004016">
        <w:rPr>
          <w:rFonts w:ascii="仿宋_GB2312" w:eastAsia="仿宋_GB2312" w:hAnsi="华文楷体" w:hint="eastAsia"/>
          <w:sz w:val="28"/>
        </w:rPr>
        <w:t>强度分区研究成果，对温江</w:t>
      </w:r>
      <w:r>
        <w:rPr>
          <w:rFonts w:ascii="仿宋_GB2312" w:eastAsia="仿宋_GB2312" w:hAnsi="华文楷体" w:hint="eastAsia"/>
          <w:sz w:val="28"/>
        </w:rPr>
        <w:t>区</w:t>
      </w:r>
      <w:r w:rsidRPr="00004016">
        <w:rPr>
          <w:rFonts w:ascii="仿宋_GB2312" w:eastAsia="仿宋_GB2312" w:hAnsi="华文楷体" w:hint="eastAsia"/>
          <w:sz w:val="28"/>
        </w:rPr>
        <w:t>已批楼盘人口进行统计</w:t>
      </w:r>
      <w:r>
        <w:rPr>
          <w:rFonts w:ascii="仿宋_GB2312" w:eastAsia="仿宋_GB2312" w:hAnsi="华文楷体" w:hint="eastAsia"/>
          <w:sz w:val="28"/>
        </w:rPr>
        <w:t>、</w:t>
      </w:r>
      <w:r w:rsidRPr="00004016">
        <w:rPr>
          <w:rFonts w:ascii="仿宋_GB2312" w:eastAsia="仿宋_GB2312" w:hAnsi="华文楷体" w:hint="eastAsia"/>
          <w:sz w:val="28"/>
        </w:rPr>
        <w:t>上图，并作趋势分析，预测终期</w:t>
      </w:r>
      <w:r w:rsidRPr="0064251A">
        <w:rPr>
          <w:rFonts w:ascii="仿宋_GB2312" w:eastAsia="仿宋_GB2312" w:hAnsi="华文楷体" w:hint="eastAsia"/>
          <w:color w:val="FF0000"/>
          <w:sz w:val="28"/>
        </w:rPr>
        <w:t>人口规模</w:t>
      </w:r>
      <w:r>
        <w:rPr>
          <w:rFonts w:ascii="仿宋_GB2312" w:eastAsia="仿宋_GB2312" w:hAnsi="华文楷体" w:hint="eastAsia"/>
          <w:sz w:val="28"/>
        </w:rPr>
        <w:t>。同时，与</w:t>
      </w:r>
      <w:r w:rsidRPr="00102E4F">
        <w:rPr>
          <w:rFonts w:ascii="仿宋_GB2312" w:eastAsia="仿宋_GB2312" w:hAnsi="华文楷体" w:hint="eastAsia"/>
          <w:color w:val="FF0000"/>
          <w:sz w:val="28"/>
        </w:rPr>
        <w:t>国内外典型城市人口密度</w:t>
      </w:r>
      <w:r>
        <w:rPr>
          <w:rFonts w:ascii="仿宋_GB2312" w:eastAsia="仿宋_GB2312" w:hAnsi="华文楷体" w:hint="eastAsia"/>
          <w:sz w:val="28"/>
        </w:rPr>
        <w:t>进行</w:t>
      </w:r>
      <w:r w:rsidRPr="00004016">
        <w:rPr>
          <w:rFonts w:ascii="仿宋_GB2312" w:eastAsia="仿宋_GB2312" w:hAnsi="华文楷体" w:hint="eastAsia"/>
          <w:sz w:val="28"/>
        </w:rPr>
        <w:t>对比，分析温江</w:t>
      </w:r>
      <w:r>
        <w:rPr>
          <w:rFonts w:ascii="仿宋_GB2312" w:eastAsia="仿宋_GB2312" w:hAnsi="华文楷体" w:hint="eastAsia"/>
          <w:sz w:val="28"/>
        </w:rPr>
        <w:t>区</w:t>
      </w:r>
      <w:r w:rsidRPr="006444AE">
        <w:rPr>
          <w:rFonts w:ascii="仿宋_GB2312" w:eastAsia="仿宋_GB2312" w:hAnsi="华文楷体" w:hint="eastAsia"/>
          <w:color w:val="FF0000"/>
          <w:sz w:val="28"/>
        </w:rPr>
        <w:t>人口密度</w:t>
      </w:r>
      <w:r w:rsidRPr="00004016">
        <w:rPr>
          <w:rFonts w:ascii="仿宋_GB2312" w:eastAsia="仿宋_GB2312" w:hAnsi="华文楷体" w:hint="eastAsia"/>
          <w:sz w:val="28"/>
        </w:rPr>
        <w:t>的合理性。</w:t>
      </w:r>
    </w:p>
    <w:p w:rsidR="00BA5921" w:rsidRDefault="00BA5921" w:rsidP="000F196B">
      <w:pPr>
        <w:pStyle w:val="ListParagraph"/>
        <w:numPr>
          <w:ilvl w:val="0"/>
          <w:numId w:val="2"/>
        </w:numPr>
        <w:ind w:firstLineChars="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分工及时间安排：</w:t>
      </w:r>
    </w:p>
    <w:p w:rsidR="00BA5921" w:rsidRPr="008A6216" w:rsidRDefault="00BA5921" w:rsidP="000F196B">
      <w:pPr>
        <w:pStyle w:val="ListParagraph"/>
        <w:numPr>
          <w:ilvl w:val="0"/>
          <w:numId w:val="3"/>
        </w:numPr>
        <w:ind w:left="1214" w:firstLineChars="0"/>
        <w:rPr>
          <w:rFonts w:ascii="仿宋_GB2312" w:eastAsia="仿宋_GB2312" w:hAnsi="华文楷体"/>
          <w:sz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0"/>
          <w:attr w:name="Year" w:val="2011"/>
        </w:smartTagPr>
        <w:r w:rsidRPr="008A6216">
          <w:rPr>
            <w:rFonts w:ascii="仿宋_GB2312" w:eastAsia="仿宋_GB2312" w:hAnsi="华文楷体"/>
            <w:sz w:val="28"/>
          </w:rPr>
          <w:t>10</w:t>
        </w:r>
        <w:r w:rsidRPr="008A6216">
          <w:rPr>
            <w:rFonts w:ascii="仿宋_GB2312" w:eastAsia="仿宋_GB2312" w:hAnsi="华文楷体" w:hint="eastAsia"/>
            <w:sz w:val="28"/>
          </w:rPr>
          <w:t>月</w:t>
        </w:r>
        <w:r w:rsidRPr="008A6216">
          <w:rPr>
            <w:rFonts w:ascii="仿宋_GB2312" w:eastAsia="仿宋_GB2312" w:hAnsi="华文楷体"/>
            <w:sz w:val="28"/>
          </w:rPr>
          <w:t>30</w:t>
        </w:r>
        <w:r w:rsidRPr="008A6216">
          <w:rPr>
            <w:rFonts w:ascii="仿宋_GB2312" w:eastAsia="仿宋_GB2312" w:hAnsi="华文楷体" w:hint="eastAsia"/>
            <w:sz w:val="28"/>
          </w:rPr>
          <w:t>日</w:t>
        </w:r>
      </w:smartTag>
      <w:r w:rsidRPr="008A6216">
        <w:rPr>
          <w:rFonts w:ascii="仿宋_GB2312" w:eastAsia="仿宋_GB2312" w:hAnsi="华文楷体" w:hint="eastAsia"/>
          <w:sz w:val="28"/>
        </w:rPr>
        <w:t>前，建筑园林规划管理科</w:t>
      </w:r>
      <w:r>
        <w:rPr>
          <w:rFonts w:ascii="仿宋_GB2312" w:eastAsia="仿宋_GB2312" w:hAnsi="华文楷体" w:hint="eastAsia"/>
          <w:sz w:val="28"/>
        </w:rPr>
        <w:t>完成</w:t>
      </w:r>
      <w:r w:rsidRPr="00C05488">
        <w:rPr>
          <w:rFonts w:ascii="仿宋_GB2312" w:eastAsia="仿宋_GB2312" w:hAnsi="华文楷体" w:hint="eastAsia"/>
          <w:color w:val="FF0000"/>
          <w:sz w:val="28"/>
        </w:rPr>
        <w:t>各楼盘的人口</w:t>
      </w:r>
      <w:r w:rsidRPr="008A6216">
        <w:rPr>
          <w:rFonts w:ascii="仿宋_GB2312" w:eastAsia="仿宋_GB2312" w:hAnsi="华文楷体" w:hint="eastAsia"/>
          <w:sz w:val="28"/>
        </w:rPr>
        <w:t>等基础数据</w:t>
      </w:r>
      <w:r>
        <w:rPr>
          <w:rFonts w:ascii="仿宋_GB2312" w:eastAsia="仿宋_GB2312" w:hAnsi="华文楷体" w:hint="eastAsia"/>
          <w:sz w:val="28"/>
        </w:rPr>
        <w:t>的收集整理，</w:t>
      </w:r>
      <w:r w:rsidRPr="00C05488">
        <w:rPr>
          <w:rFonts w:ascii="仿宋_GB2312" w:eastAsia="仿宋_GB2312" w:hAnsi="华文楷体" w:hint="eastAsia"/>
          <w:color w:val="FF0000"/>
          <w:sz w:val="28"/>
        </w:rPr>
        <w:t>规划用地管理科完成各平衡单元界限的</w:t>
      </w:r>
      <w:r w:rsidRPr="00C05488">
        <w:rPr>
          <w:rFonts w:ascii="仿宋_GB2312" w:eastAsia="仿宋_GB2312" w:hAnsi="华文楷体"/>
          <w:color w:val="FF0000"/>
          <w:sz w:val="28"/>
        </w:rPr>
        <w:t>CAD</w:t>
      </w:r>
      <w:r w:rsidRPr="00C05488">
        <w:rPr>
          <w:rFonts w:ascii="仿宋_GB2312" w:eastAsia="仿宋_GB2312" w:hAnsi="华文楷体" w:hint="eastAsia"/>
          <w:color w:val="FF0000"/>
          <w:sz w:val="28"/>
        </w:rPr>
        <w:t>图</w:t>
      </w:r>
      <w:r w:rsidRPr="008A6216">
        <w:rPr>
          <w:rFonts w:ascii="仿宋_GB2312" w:eastAsia="仿宋_GB2312" w:hAnsi="华文楷体" w:hint="eastAsia"/>
          <w:sz w:val="28"/>
        </w:rPr>
        <w:t>。</w:t>
      </w:r>
    </w:p>
    <w:p w:rsidR="00BA5921" w:rsidRPr="008A6216" w:rsidRDefault="00BA5921" w:rsidP="000F196B">
      <w:pPr>
        <w:pStyle w:val="ListParagraph"/>
        <w:numPr>
          <w:ilvl w:val="0"/>
          <w:numId w:val="3"/>
        </w:numPr>
        <w:ind w:left="1214" w:firstLineChars="0"/>
        <w:rPr>
          <w:rFonts w:ascii="仿宋_GB2312" w:eastAsia="仿宋_GB2312" w:hAnsi="华文楷体"/>
          <w:sz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1"/>
          <w:attr w:name="Year" w:val="2011"/>
        </w:smartTagPr>
        <w:r w:rsidRPr="008A6216">
          <w:rPr>
            <w:rFonts w:ascii="仿宋_GB2312" w:eastAsia="仿宋_GB2312" w:hAnsi="华文楷体"/>
            <w:sz w:val="28"/>
          </w:rPr>
          <w:t>11</w:t>
        </w:r>
        <w:r w:rsidRPr="008A6216">
          <w:rPr>
            <w:rFonts w:ascii="仿宋_GB2312" w:eastAsia="仿宋_GB2312" w:hAnsi="华文楷体" w:hint="eastAsia"/>
            <w:sz w:val="28"/>
          </w:rPr>
          <w:t>月</w:t>
        </w:r>
        <w:r w:rsidRPr="008A6216">
          <w:rPr>
            <w:rFonts w:ascii="仿宋_GB2312" w:eastAsia="仿宋_GB2312" w:hAnsi="华文楷体"/>
            <w:sz w:val="28"/>
          </w:rPr>
          <w:t>4</w:t>
        </w:r>
        <w:r w:rsidRPr="008A6216">
          <w:rPr>
            <w:rFonts w:ascii="仿宋_GB2312" w:eastAsia="仿宋_GB2312" w:hAnsi="华文楷体" w:hint="eastAsia"/>
            <w:sz w:val="28"/>
          </w:rPr>
          <w:t>日</w:t>
        </w:r>
      </w:smartTag>
      <w:r w:rsidRPr="008A6216">
        <w:rPr>
          <w:rFonts w:ascii="仿宋_GB2312" w:eastAsia="仿宋_GB2312" w:hAnsi="华文楷体" w:hint="eastAsia"/>
          <w:sz w:val="28"/>
        </w:rPr>
        <w:t>前，规划信息服务中心以</w:t>
      </w:r>
      <w:r w:rsidRPr="00DE7454">
        <w:rPr>
          <w:rFonts w:ascii="仿宋_GB2312" w:eastAsia="仿宋_GB2312" w:hAnsi="华文楷体" w:hint="eastAsia"/>
          <w:color w:val="FF0000"/>
          <w:sz w:val="28"/>
        </w:rPr>
        <w:t>平衡单元</w:t>
      </w:r>
      <w:r w:rsidRPr="008A6216">
        <w:rPr>
          <w:rFonts w:ascii="仿宋_GB2312" w:eastAsia="仿宋_GB2312" w:hAnsi="华文楷体" w:hint="eastAsia"/>
          <w:sz w:val="28"/>
        </w:rPr>
        <w:t>为单位，将基础数据进行整理并录入系统</w:t>
      </w:r>
      <w:r>
        <w:rPr>
          <w:rFonts w:ascii="仿宋_GB2312" w:eastAsia="仿宋_GB2312" w:hAnsi="华文楷体" w:hint="eastAsia"/>
          <w:sz w:val="28"/>
        </w:rPr>
        <w:t>，并形成</w:t>
      </w:r>
      <w:r w:rsidRPr="00253E06">
        <w:rPr>
          <w:rFonts w:ascii="仿宋_GB2312" w:eastAsia="仿宋_GB2312" w:hAnsi="华文楷体" w:hint="eastAsia"/>
          <w:color w:val="FF0000"/>
          <w:sz w:val="28"/>
        </w:rPr>
        <w:t>基础分析图和专题图</w:t>
      </w:r>
      <w:r w:rsidRPr="008A6216">
        <w:rPr>
          <w:rFonts w:ascii="仿宋_GB2312" w:eastAsia="仿宋_GB2312" w:hAnsi="华文楷体" w:hint="eastAsia"/>
          <w:sz w:val="28"/>
        </w:rPr>
        <w:t>。</w:t>
      </w:r>
    </w:p>
    <w:p w:rsidR="00BA5921" w:rsidRPr="00004016" w:rsidRDefault="00BA5921" w:rsidP="000F196B">
      <w:pPr>
        <w:pStyle w:val="ListParagraph"/>
        <w:numPr>
          <w:ilvl w:val="0"/>
          <w:numId w:val="3"/>
        </w:numPr>
        <w:ind w:left="1214" w:firstLineChars="0"/>
        <w:rPr>
          <w:rFonts w:ascii="仿宋_GB2312" w:eastAsia="仿宋_GB2312" w:hAnsi="华文楷体"/>
          <w:sz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1"/>
          <w:attr w:name="Year" w:val="2011"/>
        </w:smartTagPr>
        <w:r>
          <w:rPr>
            <w:rFonts w:ascii="仿宋_GB2312" w:eastAsia="仿宋_GB2312" w:hAnsi="华文楷体"/>
            <w:sz w:val="28"/>
          </w:rPr>
          <w:t>11</w:t>
        </w:r>
        <w:r>
          <w:rPr>
            <w:rFonts w:ascii="仿宋_GB2312" w:eastAsia="仿宋_GB2312" w:hAnsi="华文楷体" w:hint="eastAsia"/>
            <w:sz w:val="28"/>
          </w:rPr>
          <w:t>月</w:t>
        </w:r>
        <w:r>
          <w:rPr>
            <w:rFonts w:ascii="仿宋_GB2312" w:eastAsia="仿宋_GB2312" w:hAnsi="华文楷体"/>
            <w:sz w:val="28"/>
          </w:rPr>
          <w:t>10</w:t>
        </w:r>
        <w:r>
          <w:rPr>
            <w:rFonts w:ascii="仿宋_GB2312" w:eastAsia="仿宋_GB2312" w:hAnsi="华文楷体" w:hint="eastAsia"/>
            <w:sz w:val="28"/>
          </w:rPr>
          <w:t>日</w:t>
        </w:r>
      </w:smartTag>
      <w:r>
        <w:rPr>
          <w:rFonts w:ascii="仿宋_GB2312" w:eastAsia="仿宋_GB2312" w:hAnsi="华文楷体" w:hint="eastAsia"/>
          <w:sz w:val="28"/>
        </w:rPr>
        <w:t>前，规划用地管理科对基础成果进行分析，并与国内外典型城市进行比较，汇总形成报告成果。吴昊天配合规划用地管理科对报告成果表达方式进行把握。</w:t>
      </w:r>
    </w:p>
    <w:p w:rsidR="00BA5921" w:rsidRDefault="00BA5921" w:rsidP="000F196B">
      <w:pPr>
        <w:pStyle w:val="ListParagraph"/>
        <w:numPr>
          <w:ilvl w:val="0"/>
          <w:numId w:val="1"/>
        </w:numPr>
        <w:ind w:firstLineChars="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长效机制及工作安排。</w:t>
      </w:r>
    </w:p>
    <w:p w:rsidR="00BA5921" w:rsidRDefault="00BA5921" w:rsidP="000F196B">
      <w:pPr>
        <w:pStyle w:val="ListParagraph"/>
        <w:numPr>
          <w:ilvl w:val="0"/>
          <w:numId w:val="6"/>
        </w:numPr>
        <w:ind w:left="1128" w:firstLineChars="0" w:hanging="567"/>
        <w:rPr>
          <w:rFonts w:ascii="仿宋_GB2312" w:eastAsia="仿宋_GB2312" w:hAnsi="华文楷体"/>
          <w:sz w:val="28"/>
        </w:rPr>
      </w:pPr>
      <w:r w:rsidRPr="00E31CAF">
        <w:rPr>
          <w:rFonts w:ascii="仿宋_GB2312" w:eastAsia="仿宋_GB2312" w:hAnsi="华文楷体" w:hint="eastAsia"/>
          <w:sz w:val="28"/>
        </w:rPr>
        <w:t>目的：建立全区住宅</w:t>
      </w:r>
      <w:r>
        <w:rPr>
          <w:rFonts w:ascii="仿宋_GB2312" w:eastAsia="仿宋_GB2312" w:hAnsi="华文楷体" w:hint="eastAsia"/>
          <w:sz w:val="28"/>
        </w:rPr>
        <w:t>建筑</w:t>
      </w:r>
      <w:r w:rsidRPr="00E31CAF">
        <w:rPr>
          <w:rFonts w:ascii="仿宋_GB2312" w:eastAsia="仿宋_GB2312" w:hAnsi="华文楷体" w:hint="eastAsia"/>
          <w:sz w:val="28"/>
        </w:rPr>
        <w:t>人口容量</w:t>
      </w:r>
      <w:r>
        <w:rPr>
          <w:rFonts w:ascii="仿宋_GB2312" w:eastAsia="仿宋_GB2312" w:hAnsi="华文楷体" w:hint="eastAsia"/>
          <w:sz w:val="28"/>
        </w:rPr>
        <w:t>分布</w:t>
      </w:r>
      <w:r w:rsidRPr="00E31CAF">
        <w:rPr>
          <w:rFonts w:ascii="仿宋_GB2312" w:eastAsia="仿宋_GB2312" w:hAnsi="华文楷体" w:hint="eastAsia"/>
          <w:sz w:val="28"/>
        </w:rPr>
        <w:t>动态更新机制和专题图自动生成，配合管理单元管理模式，实现全区用地管理的合理调控和精细化管理。</w:t>
      </w:r>
    </w:p>
    <w:p w:rsidR="00BA5921" w:rsidRDefault="00BA5921" w:rsidP="000F196B">
      <w:pPr>
        <w:pStyle w:val="ListParagraph"/>
        <w:numPr>
          <w:ilvl w:val="0"/>
          <w:numId w:val="6"/>
        </w:numPr>
        <w:ind w:left="1128" w:firstLineChars="0" w:hanging="567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工作内容：在近期工作成果基础上，</w:t>
      </w:r>
      <w:commentRangeStart w:id="0"/>
      <w:r>
        <w:rPr>
          <w:rFonts w:ascii="仿宋_GB2312" w:eastAsia="仿宋_GB2312" w:hAnsi="华文楷体" w:hint="eastAsia"/>
          <w:sz w:val="28"/>
        </w:rPr>
        <w:t>将</w:t>
      </w:r>
      <w:r w:rsidRPr="008E583A">
        <w:rPr>
          <w:rFonts w:ascii="仿宋_GB2312" w:eastAsia="仿宋_GB2312" w:hAnsi="华文楷体" w:hint="eastAsia"/>
          <w:color w:val="FF0000"/>
          <w:sz w:val="28"/>
        </w:rPr>
        <w:t>人口、公服设施</w:t>
      </w:r>
      <w:r>
        <w:rPr>
          <w:rFonts w:ascii="仿宋_GB2312" w:eastAsia="仿宋_GB2312" w:hAnsi="华文楷体" w:hint="eastAsia"/>
          <w:sz w:val="28"/>
        </w:rPr>
        <w:t>数据入库植入方</w:t>
      </w:r>
      <w:r w:rsidRPr="008E583A">
        <w:rPr>
          <w:rFonts w:ascii="仿宋_GB2312" w:eastAsia="仿宋_GB2312" w:hAnsi="华文楷体" w:hint="eastAsia"/>
          <w:color w:val="FF0000"/>
          <w:sz w:val="28"/>
        </w:rPr>
        <w:t>案审批流程</w:t>
      </w:r>
      <w:r>
        <w:rPr>
          <w:rFonts w:ascii="仿宋_GB2312" w:eastAsia="仿宋_GB2312" w:hAnsi="华文楷体" w:hint="eastAsia"/>
          <w:sz w:val="28"/>
        </w:rPr>
        <w:t>管理</w:t>
      </w:r>
      <w:commentRangeEnd w:id="0"/>
      <w:r>
        <w:rPr>
          <w:rStyle w:val="CommentReference"/>
        </w:rPr>
        <w:commentReference w:id="0"/>
      </w:r>
      <w:r>
        <w:rPr>
          <w:rFonts w:ascii="仿宋_GB2312" w:eastAsia="仿宋_GB2312" w:hAnsi="华文楷体" w:hint="eastAsia"/>
          <w:sz w:val="28"/>
        </w:rPr>
        <w:t>，建立数据采集、更新机制，在管理单元基础上进行专题分析，指导用地管理。</w:t>
      </w:r>
    </w:p>
    <w:p w:rsidR="00BA5921" w:rsidRPr="00FE2913" w:rsidRDefault="00BA5921" w:rsidP="00453425">
      <w:pPr>
        <w:pStyle w:val="ListParagraph"/>
        <w:ind w:left="1128" w:firstLineChars="0" w:firstLine="0"/>
        <w:rPr>
          <w:rFonts w:ascii="仿宋_GB2312" w:eastAsia="仿宋_GB2312" w:hAnsi="华文楷体"/>
          <w:b/>
          <w:sz w:val="28"/>
        </w:rPr>
      </w:pPr>
      <w:r w:rsidRPr="00FE2913">
        <w:rPr>
          <w:rFonts w:ascii="仿宋_GB2312" w:eastAsia="仿宋_GB2312" w:hAnsi="华文楷体" w:hint="eastAsia"/>
          <w:b/>
          <w:sz w:val="28"/>
        </w:rPr>
        <w:t>问题：公服设施的数据形式：</w:t>
      </w:r>
      <w:r w:rsidRPr="00FE2913">
        <w:rPr>
          <w:rFonts w:ascii="仿宋_GB2312" w:eastAsia="仿宋_GB2312" w:hAnsi="华文楷体"/>
          <w:b/>
          <w:sz w:val="28"/>
        </w:rPr>
        <w:t>1</w:t>
      </w:r>
      <w:r w:rsidRPr="00FE2913">
        <w:rPr>
          <w:rFonts w:ascii="仿宋_GB2312" w:eastAsia="仿宋_GB2312" w:hAnsi="华文楷体" w:hint="eastAsia"/>
          <w:b/>
          <w:sz w:val="28"/>
        </w:rPr>
        <w:t>、属性数据</w:t>
      </w:r>
      <w:r w:rsidRPr="00FE2913">
        <w:rPr>
          <w:rFonts w:ascii="仿宋_GB2312" w:eastAsia="仿宋_GB2312" w:hAnsi="华文楷体"/>
          <w:b/>
          <w:sz w:val="28"/>
        </w:rPr>
        <w:t xml:space="preserve"> 2</w:t>
      </w:r>
      <w:r w:rsidRPr="00FE2913">
        <w:rPr>
          <w:rFonts w:ascii="仿宋_GB2312" w:eastAsia="仿宋_GB2312" w:hAnsi="华文楷体" w:hint="eastAsia"/>
          <w:b/>
          <w:sz w:val="28"/>
        </w:rPr>
        <w:t>、图形数据</w:t>
      </w:r>
      <w:bookmarkStart w:id="1" w:name="_GoBack"/>
      <w:bookmarkEnd w:id="1"/>
      <w:r w:rsidRPr="00FE2913">
        <w:rPr>
          <w:rFonts w:ascii="仿宋_GB2312" w:eastAsia="仿宋_GB2312" w:hAnsi="华文楷体"/>
          <w:b/>
          <w:sz w:val="28"/>
        </w:rPr>
        <w:t xml:space="preserve"> 3</w:t>
      </w:r>
      <w:r w:rsidRPr="00FE2913">
        <w:rPr>
          <w:rFonts w:ascii="仿宋_GB2312" w:eastAsia="仿宋_GB2312" w:hAnsi="华文楷体" w:hint="eastAsia"/>
          <w:b/>
          <w:sz w:val="28"/>
        </w:rPr>
        <w:t>、数据的类型</w:t>
      </w:r>
      <w:r w:rsidRPr="00FE2913">
        <w:rPr>
          <w:rFonts w:ascii="仿宋_GB2312" w:eastAsia="仿宋_GB2312" w:hAnsi="华文楷体"/>
          <w:b/>
          <w:sz w:val="28"/>
        </w:rPr>
        <w:t>(</w:t>
      </w:r>
      <w:r w:rsidRPr="00FE2913">
        <w:rPr>
          <w:rFonts w:ascii="仿宋_GB2312" w:eastAsia="仿宋_GB2312" w:hAnsi="华文楷体" w:hint="eastAsia"/>
          <w:b/>
          <w:sz w:val="28"/>
        </w:rPr>
        <w:t>农贸市场，超市等待</w:t>
      </w:r>
      <w:r w:rsidRPr="00FE2913">
        <w:rPr>
          <w:rFonts w:ascii="仿宋_GB2312" w:eastAsia="仿宋_GB2312" w:hAnsi="华文楷体"/>
          <w:b/>
          <w:sz w:val="28"/>
        </w:rPr>
        <w:t>)</w:t>
      </w:r>
    </w:p>
    <w:p w:rsidR="00BA5921" w:rsidRDefault="00BA5921" w:rsidP="000F196B">
      <w:pPr>
        <w:pStyle w:val="ListParagraph"/>
        <w:numPr>
          <w:ilvl w:val="0"/>
          <w:numId w:val="6"/>
        </w:numPr>
        <w:ind w:left="1128" w:firstLineChars="0" w:hanging="567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分工及时间安排：</w:t>
      </w:r>
    </w:p>
    <w:p w:rsidR="00BA5921" w:rsidRDefault="00BA5921" w:rsidP="000F196B">
      <w:pPr>
        <w:pStyle w:val="ListParagraph"/>
        <w:numPr>
          <w:ilvl w:val="0"/>
          <w:numId w:val="7"/>
        </w:numPr>
        <w:ind w:left="1214" w:firstLineChars="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分工：规划用地管理科提出人口相关数据内容和管理功能需求；公共服务推进科提出公服需入库的</w:t>
      </w:r>
      <w:r w:rsidRPr="009F5756">
        <w:rPr>
          <w:rFonts w:ascii="仿宋_GB2312" w:eastAsia="仿宋_GB2312" w:hAnsi="华文楷体" w:hint="eastAsia"/>
          <w:color w:val="FF0000"/>
          <w:sz w:val="28"/>
        </w:rPr>
        <w:t>种类及数据</w:t>
      </w:r>
      <w:r>
        <w:rPr>
          <w:rFonts w:ascii="仿宋_GB2312" w:eastAsia="仿宋_GB2312" w:hAnsi="华文楷体" w:hint="eastAsia"/>
          <w:sz w:val="28"/>
        </w:rPr>
        <w:t>要求和</w:t>
      </w:r>
      <w:r w:rsidRPr="009F5756">
        <w:rPr>
          <w:rFonts w:ascii="仿宋_GB2312" w:eastAsia="仿宋_GB2312" w:hAnsi="华文楷体" w:hint="eastAsia"/>
          <w:color w:val="FF0000"/>
          <w:sz w:val="28"/>
        </w:rPr>
        <w:t>管理功能</w:t>
      </w:r>
      <w:r>
        <w:rPr>
          <w:rFonts w:ascii="仿宋_GB2312" w:eastAsia="仿宋_GB2312" w:hAnsi="华文楷体" w:hint="eastAsia"/>
          <w:sz w:val="28"/>
        </w:rPr>
        <w:t>需求，并负责对</w:t>
      </w:r>
      <w:r w:rsidRPr="009F5756">
        <w:rPr>
          <w:rFonts w:ascii="仿宋_GB2312" w:eastAsia="仿宋_GB2312" w:hAnsi="华文楷体" w:hint="eastAsia"/>
          <w:color w:val="FF0000"/>
          <w:sz w:val="28"/>
        </w:rPr>
        <w:t>公服历史数据入库统</w:t>
      </w:r>
      <w:r>
        <w:rPr>
          <w:rFonts w:ascii="仿宋_GB2312" w:eastAsia="仿宋_GB2312" w:hAnsi="华文楷体" w:hint="eastAsia"/>
          <w:sz w:val="28"/>
        </w:rPr>
        <w:t>筹协调；</w:t>
      </w:r>
      <w:r w:rsidRPr="008A6216">
        <w:rPr>
          <w:rFonts w:ascii="仿宋_GB2312" w:eastAsia="仿宋_GB2312" w:hAnsi="华文楷体" w:hint="eastAsia"/>
          <w:sz w:val="28"/>
        </w:rPr>
        <w:t>规划信息服务中心</w:t>
      </w:r>
      <w:r>
        <w:rPr>
          <w:rFonts w:ascii="仿宋_GB2312" w:eastAsia="仿宋_GB2312" w:hAnsi="华文楷体" w:hint="eastAsia"/>
          <w:sz w:val="28"/>
        </w:rPr>
        <w:t>负责表单设计和系统内功能实现。</w:t>
      </w:r>
    </w:p>
    <w:p w:rsidR="00BA5921" w:rsidRDefault="00BA5921" w:rsidP="000F196B">
      <w:pPr>
        <w:pStyle w:val="ListParagraph"/>
        <w:numPr>
          <w:ilvl w:val="0"/>
          <w:numId w:val="7"/>
        </w:numPr>
        <w:ind w:left="1214" w:firstLineChars="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时间安排：总体时间控制在</w:t>
      </w:r>
      <w:r>
        <w:rPr>
          <w:rFonts w:ascii="仿宋_GB2312" w:eastAsia="仿宋_GB2312" w:hAnsi="华文楷体"/>
          <w:sz w:val="28"/>
        </w:rPr>
        <w:t>2012</w:t>
      </w:r>
      <w:r>
        <w:rPr>
          <w:rFonts w:ascii="仿宋_GB2312" w:eastAsia="仿宋_GB2312" w:hAnsi="华文楷体" w:hint="eastAsia"/>
          <w:sz w:val="28"/>
        </w:rPr>
        <w:t>年春节前，公服历史数据采集由公共服务推进科确定截止时间。其中，工作大纲在</w:t>
      </w:r>
      <w:r>
        <w:rPr>
          <w:rFonts w:ascii="仿宋_GB2312" w:eastAsia="仿宋_GB2312" w:hAnsi="华文楷体"/>
          <w:sz w:val="28"/>
        </w:rPr>
        <w:t>11</w:t>
      </w:r>
      <w:r>
        <w:rPr>
          <w:rFonts w:ascii="仿宋_GB2312" w:eastAsia="仿宋_GB2312" w:hAnsi="华文楷体" w:hint="eastAsia"/>
          <w:sz w:val="28"/>
        </w:rPr>
        <w:t>月上旬完成，表单设计及功能实现在春节前完成。</w:t>
      </w:r>
    </w:p>
    <w:p w:rsidR="00BA5921" w:rsidRDefault="00BA5921" w:rsidP="00C10A20">
      <w:pPr>
        <w:ind w:firstLineChars="200" w:firstLine="31680"/>
        <w:rPr>
          <w:rFonts w:ascii="仿宋_GB2312" w:eastAsia="仿宋_GB2312" w:hAnsi="华文楷体"/>
          <w:sz w:val="28"/>
        </w:rPr>
      </w:pPr>
      <w:r w:rsidRPr="003942C6">
        <w:rPr>
          <w:rFonts w:ascii="仿宋_GB2312" w:eastAsia="仿宋_GB2312" w:hAnsi="华文楷体" w:hint="eastAsia"/>
          <w:sz w:val="28"/>
        </w:rPr>
        <w:t>参会人员：罗仕洪、吴昊天、高文娟、赖书彬、乐子琪、李</w:t>
      </w:r>
      <w:r w:rsidRPr="003942C6">
        <w:rPr>
          <w:rFonts w:ascii="仿宋_GB2312" w:eastAsia="仿宋_GB2312" w:hAnsi="华文楷体"/>
          <w:sz w:val="28"/>
        </w:rPr>
        <w:t xml:space="preserve"> </w:t>
      </w:r>
      <w:r w:rsidRPr="003942C6">
        <w:rPr>
          <w:rFonts w:ascii="仿宋_GB2312" w:eastAsia="仿宋_GB2312" w:hAnsi="华文楷体" w:hint="eastAsia"/>
          <w:sz w:val="28"/>
        </w:rPr>
        <w:t>昀</w:t>
      </w:r>
      <w:r>
        <w:rPr>
          <w:rFonts w:ascii="仿宋_GB2312" w:eastAsia="仿宋_GB2312" w:hAnsi="华文楷体" w:hint="eastAsia"/>
          <w:sz w:val="28"/>
        </w:rPr>
        <w:t>。</w:t>
      </w:r>
    </w:p>
    <w:p w:rsidR="00BA5921" w:rsidRDefault="00BA5921" w:rsidP="00C10A20">
      <w:pPr>
        <w:ind w:firstLineChars="200" w:firstLine="31680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记录：</w:t>
      </w:r>
      <w:r w:rsidRPr="003942C6">
        <w:rPr>
          <w:rFonts w:ascii="仿宋_GB2312" w:eastAsia="仿宋_GB2312" w:hAnsi="华文楷体" w:hint="eastAsia"/>
          <w:sz w:val="28"/>
        </w:rPr>
        <w:t>武书羊</w:t>
      </w:r>
      <w:r>
        <w:rPr>
          <w:rFonts w:ascii="仿宋_GB2312" w:eastAsia="仿宋_GB2312" w:hAnsi="华文楷体" w:hint="eastAsia"/>
          <w:sz w:val="28"/>
        </w:rPr>
        <w:t>。</w:t>
      </w:r>
    </w:p>
    <w:p w:rsidR="00BA5921" w:rsidRPr="00931D2B" w:rsidRDefault="00BA5921" w:rsidP="00C10A20">
      <w:pPr>
        <w:ind w:firstLineChars="200" w:firstLine="31680"/>
        <w:jc w:val="center"/>
        <w:rPr>
          <w:rFonts w:ascii="微软雅黑" w:eastAsia="微软雅黑" w:hAnsi="微软雅黑"/>
          <w:b/>
          <w:sz w:val="28"/>
        </w:rPr>
      </w:pPr>
      <w:r w:rsidRPr="00931D2B">
        <w:rPr>
          <w:rFonts w:ascii="微软雅黑" w:eastAsia="微软雅黑" w:hAnsi="微软雅黑" w:hint="eastAsia"/>
          <w:b/>
          <w:sz w:val="28"/>
        </w:rPr>
        <w:t>更新机制流程图</w:t>
      </w:r>
    </w:p>
    <w:p w:rsidR="00BA5921" w:rsidRDefault="00BA5921" w:rsidP="00C10A20">
      <w:pPr>
        <w:ind w:firstLineChars="200" w:firstLine="31680"/>
        <w:jc w:val="center"/>
        <w:rPr>
          <w:rFonts w:ascii="仿宋_GB2312" w:eastAsia="仿宋_GB2312" w:hAnsi="华文楷体"/>
          <w:sz w:val="28"/>
        </w:rPr>
      </w:pPr>
      <w:r>
        <w:rPr>
          <w:noProof/>
        </w:rPr>
      </w:r>
      <w:r w:rsidRPr="00A90ED6">
        <w:rPr>
          <w:rFonts w:ascii="仿宋_GB2312" w:eastAsia="仿宋_GB2312" w:hAnsi="华文楷体"/>
          <w:noProof/>
          <w:sz w:val="28"/>
        </w:rPr>
        <w:pict>
          <v:group id="组合 1" o:spid="_x0000_s1026" style="width:438.75pt;height:123.75pt;mso-position-horizontal-relative:char;mso-position-vertical-relative:line" coordorigin="13572,22859" coordsize="55721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">
            <v:roundrect id="圆角矩形 3" o:spid="_x0000_s1027" style="position:absolute;left:39290;top:22859;width:30004;height:1571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8QL8A&#10;AADaAAAADwAAAGRycy9kb3ducmV2LnhtbESP3WrCQBCF7wXfYRnBO92oaCW6SikEelEEtQ8wZMck&#10;mJ2Nu1ONb+8WCr08fOeHs933rlV3CrHxbGA2zUARl942XBn4PheTNagoyBZbz2TgSRH2u+Fgi7n1&#10;Dz7S/SSVSiUcczRQi3S51rGsyWGc+o44sYsPDiXJUGkb8JHKXavnWbbSDhtOCzV29FFTeT39OAM8&#10;P68Cvd14WUg1uxwK+Tp+WmPGo/59A0qol3/zXzpxWMDvlXQD9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oLxAvwAAANoAAAAPAAAAAAAAAAAAAAAAAJgCAABkcnMvZG93bnJl&#10;di54bWxQSwUGAAAAAAQABAD1AAAAhAMAAAAA&#10;" strokeweight="2pt">
              <v:stroke dashstyle="dash"/>
              <v:textbox>
                <w:txbxContent>
                  <w:p w:rsidR="00BA5921" w:rsidRDefault="00BA5921" w:rsidP="00A634EA"/>
                </w:txbxContent>
              </v:textbox>
            </v:roundrect>
            <v:roundrect id="圆角矩形 4" o:spid="_x0000_s1028" style="position:absolute;left:13572;top:22859;width:24384;height:1571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kNL8A&#10;AADaAAAADwAAAGRycy9kb3ducmV2LnhtbESP3WrCQBCF7wXfYRnBO90oaiW6SikEelEEtQ8wZMck&#10;mJ2Nu1ONb+8WCr08fOeHs933rlV3CrHxbGA2zUARl942XBn4PheTNagoyBZbz2TgSRH2u+Fgi7n1&#10;Dz7S/SSVSiUcczRQi3S51rGsyWGc+o44sYsPDiXJUGkb8JHKXavnWbbSDhtOCzV29FFTeT39OAM8&#10;P68Cvd14WUg1uxwK+Tp+WmPGo/59A0qol3/zXzpxWMDvlXQD9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SSQ0vwAAANoAAAAPAAAAAAAAAAAAAAAAAJgCAABkcnMvZG93bnJl&#10;di54bWxQSwUGAAAAAAQABAD1AAAAhAMAAAAA&#10;" strokeweight="2pt">
              <v:stroke dashstyle="dash"/>
              <v:textbox>
                <w:txbxContent>
                  <w:p w:rsidR="00BA5921" w:rsidRDefault="00BA5921" w:rsidP="00A634EA"/>
                </w:txbxContent>
              </v:textbox>
            </v:roundrect>
            <v:roundrect id="圆角矩形 5" o:spid="_x0000_s1029" style="position:absolute;left:14287;top:25003;width:11430;height:71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A5921" w:rsidRDefault="00BA5921" w:rsidP="00A634EA"/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left:14287;top:26431;width:11430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32"/>
                        <w:szCs w:val="32"/>
                      </w:rPr>
                      <w:t>方案审批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7" o:spid="_x0000_s1031" type="#_x0000_t13" style="position:absolute;left:25717;top:27860;width:14287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0MlsEA&#10;AADaAAAADwAAAGRycy9kb3ducmV2LnhtbESPT4vCMBTE74LfITzBmyYqq6VrFBGF9egf2Ovb5m1b&#10;bF5KE2vdT28WBI/DzPyGWa47W4mWGl861jAZKxDEmTMl5xou5/0oAeEDssHKMWl4kIf1qt9bYmrc&#10;nY/UnkIuIoR9ihqKEOpUSp8VZNGPXU0cvV/XWAxRNrk0Dd4j3FZyqtRcWiw5LhRY07ag7Hq6WQ0/&#10;FP52M/yYttvD9XuXKK9uLtN6OOg2nyACdeEdfrW/jIYF/F+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dDJbBAAAA2gAAAA8AAAAAAAAAAAAAAAAAmAIAAGRycy9kb3du&#10;cmV2LnhtbFBLBQYAAAAABAAEAPUAAACGAwAAAAA=&#10;" adj="20520" fillcolor="gray">
              <v:fill color2="#d9d9d9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A5921" w:rsidRDefault="00BA5921" w:rsidP="00A634EA"/>
                </w:txbxContent>
              </v:textbox>
            </v:shape>
            <v:shape id="TextBox 9" o:spid="_x0000_s1032" type="#_x0000_t202" style="position:absolute;left:25717;top:25003;width:12859;height:4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8"/>
                        <w:szCs w:val="28"/>
                      </w:rPr>
                      <w:t>填写表单入库</w:t>
                    </w:r>
                  </w:p>
                </w:txbxContent>
              </v:textbox>
            </v:shape>
            <v:roundrect id="圆角矩形 9" o:spid="_x0000_s1033" style="position:absolute;left:40004;top:25003;width:13574;height:71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GasAA&#10;AADaAAAADwAAAGRycy9kb3ducmV2LnhtbESPT4vCMBTE7wt+h/AEb9tUhcV2jbIKikf/7vnRPNuu&#10;zUtJotZvvxEEj8PM/IaZzjvTiBs5X1tWMExSEMSF1TWXCo6H1ecEhA/IGhvLpOBBHuaz3scUc23v&#10;vKPbPpQiQtjnqKAKoc2l9EVFBn1iW+Lona0zGKJ0pdQO7xFuGjlK0y9psOa4UGFLy4qKy/5qFLjd&#10;ejG+hNPWZlkzrPH8+7fVRqlBv/v5BhGoC+/wq73RCjJ4Xok3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xGasAAAADaAAAADwAAAAAAAAAAAAAAAACYAgAAZHJzL2Rvd25y&#10;ZXYueG1sUEsFBgAAAAAEAAQA9QAAAIUDAAAAAA=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A5921" w:rsidRDefault="00BA5921" w:rsidP="00A634EA"/>
                </w:txbxContent>
              </v:textbox>
            </v:roundrect>
            <v:shape id="TextBox 11" o:spid="_x0000_s1034" type="#_x0000_t202" style="position:absolute;left:40004;top:26431;width:13570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32"/>
                        <w:szCs w:val="32"/>
                      </w:rPr>
                      <w:t>系统数据库</w:t>
                    </w:r>
                  </w:p>
                </w:txbxContent>
              </v:textbox>
            </v:shape>
            <v:shape id="右箭头 11" o:spid="_x0000_s1035" type="#_x0000_t13" style="position:absolute;left:53578;top:27860;width:571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ohMEA&#10;AADbAAAADwAAAGRycy9kb3ducmV2LnhtbERPS4vCMBC+C/6HMII3m9aDu1SjiCgWD8uuz+vQjG2x&#10;mZQmav33m4UFb/PxPWe26EwtHtS6yrKCJIpBEOdWV1woOB42o08QziNrrC2Tghc5WMz7vRmm2j75&#10;hx57X4gQwi5FBaX3TSqly0sy6CLbEAfualuDPsC2kLrFZwg3tRzH8UQarDg0lNjQqqT8tr8bBd+n&#10;baJ33ddleb1k2bo+V83546XUcNAtpyA8df4t/ndnOsxP4O+Xc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KITBAAAA2wAAAA8AAAAAAAAAAAAAAAAAmAIAAGRycy9kb3du&#10;cmV2LnhtbFBLBQYAAAAABAAEAPUAAACGAwAAAAA=&#10;" adj="18900" fillcolor="gray">
              <v:fill color2="#d9d9d9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A5921" w:rsidRDefault="00BA5921" w:rsidP="00A634EA"/>
                </w:txbxContent>
              </v:textbox>
            </v:shape>
            <v:shape id="TextBox 13" o:spid="_x0000_s1036" type="#_x0000_t202" style="position:absolute;left:53577;top:25003;width:5715;height:4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8"/>
                        <w:szCs w:val="28"/>
                      </w:rPr>
                      <w:t>分析</w:t>
                    </w:r>
                  </w:p>
                </w:txbxContent>
              </v:textbox>
            </v:shape>
            <v:roundrect id="圆角矩形 13" o:spid="_x0000_s1037" style="position:absolute;left:59293;top:25003;width:9287;height:714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6rDcAA&#10;AADbAAAADwAAAGRycy9kb3ducmV2LnhtbERPTWvCQBC9F/wPywjemo0ViomuogWlx2ir5yE7JtHs&#10;bNhdTfrvu4WCt3m8z1muB9OKBznfWFYwTVIQxKXVDVcKvr92r3MQPiBrbC2Tgh/ysF6NXpaYa9vz&#10;gR7HUIkYwj5HBXUIXS6lL2sy6BPbEUfuYp3BEKGrpHbYx3DTyrc0fZcGG44NNXb0UVN5O96NAnfY&#10;b2e3cCpslrXTBi/na6GNUpPxsFmACDSEp/jf/anj/Bn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6rDcAAAADbAAAADwAAAAAAAAAAAAAAAACYAgAAZHJzL2Rvd25y&#10;ZXYueG1sUEsFBgAAAAAEAAQA9QAAAIUDAAAAAA==&#10;" fillcolor="gray">
              <v:fill color2="#d9d9d9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A5921" w:rsidRDefault="00BA5921" w:rsidP="00A634EA"/>
                </w:txbxContent>
              </v:textbox>
            </v:roundrect>
            <v:shape id="TextBox 15" o:spid="_x0000_s1038" type="#_x0000_t202" style="position:absolute;left:59292;top:26431;width:9284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32"/>
                        <w:szCs w:val="32"/>
                      </w:rPr>
                      <w:t>专题图</w:t>
                    </w:r>
                  </w:p>
                </w:txbxContent>
              </v:textbox>
            </v:shape>
            <v:shape id="TextBox 18" o:spid="_x0000_s1039" type="#_x0000_t202" style="position:absolute;left:13572;top:33575;width:24289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36"/>
                        <w:szCs w:val="36"/>
                      </w:rPr>
                      <w:t>建筑园林规划管理科</w:t>
                    </w:r>
                  </w:p>
                </w:txbxContent>
              </v:textbox>
            </v:shape>
            <v:shape id="TextBox 19" o:spid="_x0000_s1040" type="#_x0000_t202" style="position:absolute;left:39290;top:33575;width:30004;height:4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<v:textbox style="mso-fit-shape-to-text:t">
                <w:txbxContent>
                  <w:p w:rsidR="00BA5921" w:rsidRDefault="00BA5921" w:rsidP="00A634E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32B4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36"/>
                        <w:szCs w:val="36"/>
                      </w:rPr>
                      <w:t>规划信息服务中心</w:t>
                    </w:r>
                  </w:p>
                </w:txbxContent>
              </v:textbox>
            </v:shape>
            <w10:anchorlock/>
          </v:group>
        </w:pict>
      </w:r>
    </w:p>
    <w:p w:rsidR="00BA5921" w:rsidRDefault="00BA5921" w:rsidP="00C10A20">
      <w:pPr>
        <w:spacing w:beforeLines="150"/>
        <w:ind w:firstLineChars="200" w:firstLine="31680"/>
        <w:jc w:val="left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送：李局长、盛局长、周书记及各位局领导</w:t>
      </w:r>
    </w:p>
    <w:p w:rsidR="00BA5921" w:rsidRPr="00C32F70" w:rsidRDefault="00BA5921" w:rsidP="00A90ED6">
      <w:pPr>
        <w:ind w:firstLineChars="200" w:firstLine="31680"/>
        <w:jc w:val="left"/>
        <w:rPr>
          <w:rFonts w:ascii="仿宋_GB2312" w:eastAsia="仿宋_GB2312" w:hAnsi="华文楷体"/>
          <w:sz w:val="28"/>
        </w:rPr>
      </w:pPr>
      <w:r>
        <w:rPr>
          <w:rFonts w:ascii="仿宋_GB2312" w:eastAsia="仿宋_GB2312" w:hAnsi="华文楷体" w:hint="eastAsia"/>
          <w:sz w:val="28"/>
        </w:rPr>
        <w:t>抄：建筑园林规划管理科、公共服务推进科、规划信息服务中心</w:t>
      </w:r>
    </w:p>
    <w:sectPr w:rsidR="00BA5921" w:rsidRPr="00C32F70" w:rsidSect="00D60D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1-10-28T11:06:00Z" w:initials="">
    <w:p w:rsidR="00BA5921" w:rsidRDefault="00BA592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不太明确具体功能。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921" w:rsidRDefault="00BA5921" w:rsidP="00B117A5">
      <w:r>
        <w:separator/>
      </w:r>
    </w:p>
  </w:endnote>
  <w:endnote w:type="continuationSeparator" w:id="0">
    <w:p w:rsidR="00BA5921" w:rsidRDefault="00BA5921" w:rsidP="00B11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>
    <w:pPr>
      <w:pStyle w:val="Footer"/>
      <w:jc w:val="right"/>
    </w:pPr>
    <w:fldSimple w:instr=" PAGE   \* MERGEFORMAT ">
      <w:r w:rsidRPr="00B433A2">
        <w:rPr>
          <w:noProof/>
          <w:lang w:val="zh-CN"/>
        </w:rPr>
        <w:t>3</w:t>
      </w:r>
    </w:fldSimple>
  </w:p>
  <w:p w:rsidR="00BA5921" w:rsidRDefault="00BA59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921" w:rsidRDefault="00BA5921" w:rsidP="00B117A5">
      <w:r>
        <w:separator/>
      </w:r>
    </w:p>
  </w:footnote>
  <w:footnote w:type="continuationSeparator" w:id="0">
    <w:p w:rsidR="00BA5921" w:rsidRDefault="00BA5921" w:rsidP="00B117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 w:rsidP="00C10A2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21" w:rsidRDefault="00BA59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A1C15"/>
    <w:multiLevelType w:val="hybridMultilevel"/>
    <w:tmpl w:val="1CFA16E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AC5369E"/>
    <w:multiLevelType w:val="hybridMultilevel"/>
    <w:tmpl w:val="FD287C98"/>
    <w:lvl w:ilvl="0" w:tplc="04090017">
      <w:start w:val="1"/>
      <w:numFmt w:val="chineseCountingThousand"/>
      <w:lvlText w:val="(%1)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">
    <w:nsid w:val="26386FA9"/>
    <w:multiLevelType w:val="hybridMultilevel"/>
    <w:tmpl w:val="00B4374C"/>
    <w:lvl w:ilvl="0" w:tplc="0409000F">
      <w:start w:val="1"/>
      <w:numFmt w:val="decimal"/>
      <w:lvlText w:val="%1."/>
      <w:lvlJc w:val="left"/>
      <w:pPr>
        <w:ind w:left="1413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  <w:rPr>
        <w:rFonts w:cs="Times New Roman"/>
      </w:rPr>
    </w:lvl>
  </w:abstractNum>
  <w:abstractNum w:abstractNumId="3">
    <w:nsid w:val="26D27724"/>
    <w:multiLevelType w:val="hybridMultilevel"/>
    <w:tmpl w:val="E0DAB8F8"/>
    <w:lvl w:ilvl="0" w:tplc="0409000F">
      <w:start w:val="1"/>
      <w:numFmt w:val="decimal"/>
      <w:lvlText w:val="%1."/>
      <w:lvlJc w:val="left"/>
      <w:pPr>
        <w:ind w:left="13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  <w:rPr>
        <w:rFonts w:cs="Times New Roman"/>
      </w:rPr>
    </w:lvl>
  </w:abstractNum>
  <w:abstractNum w:abstractNumId="4">
    <w:nsid w:val="3E707DF0"/>
    <w:multiLevelType w:val="hybridMultilevel"/>
    <w:tmpl w:val="838C2D0A"/>
    <w:lvl w:ilvl="0" w:tplc="04090017">
      <w:start w:val="1"/>
      <w:numFmt w:val="chineseCountingThousand"/>
      <w:lvlText w:val="(%1)"/>
      <w:lvlJc w:val="left"/>
      <w:pPr>
        <w:ind w:left="17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  <w:rPr>
        <w:rFonts w:cs="Times New Roman"/>
      </w:rPr>
    </w:lvl>
  </w:abstractNum>
  <w:abstractNum w:abstractNumId="5">
    <w:nsid w:val="6FDF7C09"/>
    <w:multiLevelType w:val="hybridMultilevel"/>
    <w:tmpl w:val="ED9AB4C8"/>
    <w:lvl w:ilvl="0" w:tplc="202C8A9C">
      <w:start w:val="1"/>
      <w:numFmt w:val="japaneseCounting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6">
    <w:nsid w:val="76DF0C1A"/>
    <w:multiLevelType w:val="hybridMultilevel"/>
    <w:tmpl w:val="0428B986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FC5"/>
    <w:rsid w:val="000027A9"/>
    <w:rsid w:val="00004016"/>
    <w:rsid w:val="000104A1"/>
    <w:rsid w:val="000160D6"/>
    <w:rsid w:val="0003391B"/>
    <w:rsid w:val="00045917"/>
    <w:rsid w:val="00081927"/>
    <w:rsid w:val="000907BB"/>
    <w:rsid w:val="00095FC5"/>
    <w:rsid w:val="000C10BC"/>
    <w:rsid w:val="000E2316"/>
    <w:rsid w:val="000F196B"/>
    <w:rsid w:val="00100398"/>
    <w:rsid w:val="00102E4F"/>
    <w:rsid w:val="00143664"/>
    <w:rsid w:val="001616B0"/>
    <w:rsid w:val="001831F9"/>
    <w:rsid w:val="001B3FBE"/>
    <w:rsid w:val="00250AE2"/>
    <w:rsid w:val="00253E06"/>
    <w:rsid w:val="0026564F"/>
    <w:rsid w:val="00296D10"/>
    <w:rsid w:val="002D256E"/>
    <w:rsid w:val="002D6B16"/>
    <w:rsid w:val="002E0921"/>
    <w:rsid w:val="003033F3"/>
    <w:rsid w:val="00371ADA"/>
    <w:rsid w:val="003942C6"/>
    <w:rsid w:val="003A1463"/>
    <w:rsid w:val="003B0C70"/>
    <w:rsid w:val="003C576D"/>
    <w:rsid w:val="00453425"/>
    <w:rsid w:val="0045618D"/>
    <w:rsid w:val="004607E2"/>
    <w:rsid w:val="0048659A"/>
    <w:rsid w:val="004C418B"/>
    <w:rsid w:val="004E38DE"/>
    <w:rsid w:val="004E426B"/>
    <w:rsid w:val="004F6777"/>
    <w:rsid w:val="004F69F7"/>
    <w:rsid w:val="0051578C"/>
    <w:rsid w:val="005206F0"/>
    <w:rsid w:val="00546568"/>
    <w:rsid w:val="00567932"/>
    <w:rsid w:val="005966AF"/>
    <w:rsid w:val="005A301F"/>
    <w:rsid w:val="006278F9"/>
    <w:rsid w:val="0064251A"/>
    <w:rsid w:val="006444AE"/>
    <w:rsid w:val="006759B9"/>
    <w:rsid w:val="006927B6"/>
    <w:rsid w:val="006B43AD"/>
    <w:rsid w:val="006E42A0"/>
    <w:rsid w:val="006F5E4B"/>
    <w:rsid w:val="00763500"/>
    <w:rsid w:val="007727BA"/>
    <w:rsid w:val="007B2D74"/>
    <w:rsid w:val="007F1D9F"/>
    <w:rsid w:val="007F7A14"/>
    <w:rsid w:val="007F7DF1"/>
    <w:rsid w:val="00801A5A"/>
    <w:rsid w:val="008274F1"/>
    <w:rsid w:val="008621DD"/>
    <w:rsid w:val="00862488"/>
    <w:rsid w:val="00864432"/>
    <w:rsid w:val="00880F89"/>
    <w:rsid w:val="008A6216"/>
    <w:rsid w:val="008E583A"/>
    <w:rsid w:val="008F1B3C"/>
    <w:rsid w:val="00931D2B"/>
    <w:rsid w:val="009B0AE3"/>
    <w:rsid w:val="009B46A2"/>
    <w:rsid w:val="009C1D17"/>
    <w:rsid w:val="009C782B"/>
    <w:rsid w:val="009E2DA7"/>
    <w:rsid w:val="009F0C59"/>
    <w:rsid w:val="009F18BE"/>
    <w:rsid w:val="009F5756"/>
    <w:rsid w:val="00A432B4"/>
    <w:rsid w:val="00A51F45"/>
    <w:rsid w:val="00A55915"/>
    <w:rsid w:val="00A634EA"/>
    <w:rsid w:val="00A90ED6"/>
    <w:rsid w:val="00B117A5"/>
    <w:rsid w:val="00B433A2"/>
    <w:rsid w:val="00B843A6"/>
    <w:rsid w:val="00B94B11"/>
    <w:rsid w:val="00BA5921"/>
    <w:rsid w:val="00BC0D1C"/>
    <w:rsid w:val="00BE4040"/>
    <w:rsid w:val="00BF49D8"/>
    <w:rsid w:val="00C05488"/>
    <w:rsid w:val="00C10A20"/>
    <w:rsid w:val="00C25AA2"/>
    <w:rsid w:val="00C3129A"/>
    <w:rsid w:val="00C32F70"/>
    <w:rsid w:val="00C44B71"/>
    <w:rsid w:val="00C76EAE"/>
    <w:rsid w:val="00C855AA"/>
    <w:rsid w:val="00C92768"/>
    <w:rsid w:val="00C96709"/>
    <w:rsid w:val="00CC2961"/>
    <w:rsid w:val="00CC741A"/>
    <w:rsid w:val="00D3164A"/>
    <w:rsid w:val="00D60D8F"/>
    <w:rsid w:val="00D7107B"/>
    <w:rsid w:val="00D7384A"/>
    <w:rsid w:val="00DA03BA"/>
    <w:rsid w:val="00DB0570"/>
    <w:rsid w:val="00DE7454"/>
    <w:rsid w:val="00DF5F93"/>
    <w:rsid w:val="00E31CAF"/>
    <w:rsid w:val="00E325E9"/>
    <w:rsid w:val="00E336A4"/>
    <w:rsid w:val="00E44D34"/>
    <w:rsid w:val="00E6678E"/>
    <w:rsid w:val="00E9536C"/>
    <w:rsid w:val="00EB3E9E"/>
    <w:rsid w:val="00F05C8D"/>
    <w:rsid w:val="00F62F5A"/>
    <w:rsid w:val="00F65C8A"/>
    <w:rsid w:val="00F978FF"/>
    <w:rsid w:val="00FD2995"/>
    <w:rsid w:val="00FE2913"/>
    <w:rsid w:val="00FF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3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1F4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B11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17A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11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117A5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31D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1D2B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A634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D7107B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D7107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1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146</TotalTime>
  <Pages>3</Pages>
  <Words>142</Words>
  <Characters>815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88</cp:revision>
  <dcterms:created xsi:type="dcterms:W3CDTF">2011-10-27T08:39:00Z</dcterms:created>
  <dcterms:modified xsi:type="dcterms:W3CDTF">2011-10-28T10:51:00Z</dcterms:modified>
</cp:coreProperties>
</file>