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I. 전체 구성도 – 논문 코드 vs 내 코드 상세 비교</w:t>
      </w:r>
    </w:p>
    <w:p>
      <w:r>
        <w:t>논문(Paper)에서 제안한 이상적 연구 모델과 내가 구현한 실제 솔루션의 구현 현황을 구현 단계(Stage) 기준으로 비교/요약한 구성표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구현 단계 (Stage)</w:t>
            </w:r>
          </w:p>
        </w:tc>
        <w:tc>
          <w:tcPr>
            <w:tcW w:type="dxa" w:w="2160"/>
          </w:tcPr>
          <w:p>
            <w:r>
              <w:t>논문 연구 목표 및 기술</w:t>
              <w:br/>
              <w:t>(Ideal Research Goal &amp; Tech)</w:t>
            </w:r>
          </w:p>
        </w:tc>
        <w:tc>
          <w:tcPr>
            <w:tcW w:type="dxa" w:w="2160"/>
          </w:tcPr>
          <w:p>
            <w:r>
              <w:t>내 솔루션 구현 현황</w:t>
              <w:br/>
              <w:t>(Implementation I/O &amp; Architecture)</w:t>
            </w:r>
          </w:p>
        </w:tc>
        <w:tc>
          <w:tcPr>
            <w:tcW w:type="dxa" w:w="2160"/>
          </w:tcPr>
          <w:p>
            <w:r>
              <w:t>차이 발생 사유 및 유사도</w:t>
              <w:br/>
              <w:t>(Reason for Gap &amp; % Similarity)</w:t>
            </w:r>
          </w:p>
        </w:tc>
      </w:tr>
      <w:tr>
        <w:tc>
          <w:tcPr>
            <w:tcW w:type="dxa" w:w="2160"/>
          </w:tcPr>
          <w:p>
            <w:r>
              <w:t>1. 입력 및 전처리</w:t>
              <w:br/>
              <w:t>(Input &amp; Preprocessing)</w:t>
            </w:r>
          </w:p>
        </w:tc>
        <w:tc>
          <w:tcPr>
            <w:tcW w:type="dxa" w:w="2160"/>
          </w:tcPr>
          <w:p>
            <w:r>
              <w:t>GOAL: 사용자의 스케치를 구조 조건으로 활용</w:t>
              <w:br/>
              <w:t>TECH: PiDiNet 기반 Edge Detection + Multimodal Conditioning</w:t>
            </w:r>
          </w:p>
        </w:tc>
        <w:tc>
          <w:tcPr>
            <w:tcW w:type="dxa" w:w="2160"/>
          </w:tcPr>
          <w:p>
            <w:r>
              <w:t>INPUT: 사용자 스케치 이미지</w:t>
              <w:br/>
              <w:t>PROCESS: 1024 리사이즈 → RGB 변환 → PiDiNet으로 Edge Map 생성</w:t>
              <w:br/>
              <w:t>OUTPUT: edge map (구조 조건)</w:t>
              <w:br/>
              <w:t>SOURCE: model_engine.generate_image() 내부 처리</w:t>
            </w:r>
          </w:p>
        </w:tc>
        <w:tc>
          <w:tcPr>
            <w:tcW w:type="dxa" w:w="2160"/>
          </w:tcPr>
          <w:p>
            <w:r>
              <w:t>유사도: 95% (High)</w:t>
              <w:br/>
              <w:t>- 동일 PiDiNet 사용</w:t>
              <w:br/>
              <w:t>- 논문과 동일한 구조 조건 방식 구현</w:t>
              <w:br/>
              <w:t>- 차이: 노트북 실험 코드 → 엔진화 구조</w:t>
            </w:r>
          </w:p>
        </w:tc>
      </w:tr>
      <w:tr>
        <w:tc>
          <w:tcPr>
            <w:tcW w:type="dxa" w:w="2160"/>
          </w:tcPr>
          <w:p>
            <w:r>
              <w:t>2. 조건부 이미지 생성</w:t>
              <w:br/>
              <w:t>(Conditional Generation)</w:t>
            </w:r>
          </w:p>
        </w:tc>
        <w:tc>
          <w:tcPr>
            <w:tcW w:type="dxa" w:w="2160"/>
          </w:tcPr>
          <w:p>
            <w:r>
              <w:t>GOAL: 텍스트 + 구조 조건을 동시에 반영한 고해상도 이미지 생성</w:t>
              <w:br/>
              <w:t>TECH: SDXL + T2I Adapter + Cross Attention</w:t>
            </w:r>
          </w:p>
        </w:tc>
        <w:tc>
          <w:tcPr>
            <w:tcW w:type="dxa" w:w="2160"/>
          </w:tcPr>
          <w:p>
            <w:r>
              <w:t>INPUT: prompt + edge map</w:t>
              <w:br/>
              <w:t>PROCESS: StableDiffusionXLAdapterPipeline 추론</w:t>
              <w:br/>
              <w:t xml:space="preserve">  - guidance scale</w:t>
              <w:br/>
              <w:t xml:space="preserve">  - num_inference_steps</w:t>
              <w:br/>
              <w:t xml:space="preserve">  - seed 제어</w:t>
              <w:br/>
              <w:t>OUTPUT: generated image</w:t>
              <w:br/>
              <w:t>SOURCE: model_engine.generate_image()</w:t>
            </w:r>
          </w:p>
        </w:tc>
        <w:tc>
          <w:tcPr>
            <w:tcW w:type="dxa" w:w="2160"/>
          </w:tcPr>
          <w:p>
            <w:r>
              <w:t>유사도: 98% (Very High)</w:t>
              <w:br/>
              <w:t>- 동일 SDXL + Adapter 사용</w:t>
              <w:br/>
              <w:t>- Cross-Attention 구조 동일</w:t>
              <w:br/>
              <w:t>- 개선: seed/step 제어 구조 추가</w:t>
            </w:r>
          </w:p>
        </w:tc>
      </w:tr>
      <w:tr>
        <w:tc>
          <w:tcPr>
            <w:tcW w:type="dxa" w:w="2160"/>
          </w:tcPr>
          <w:p>
            <w:r>
              <w:t>3. 부분 수정</w:t>
              <w:br/>
              <w:t>(Inpainting Module)</w:t>
            </w:r>
          </w:p>
        </w:tc>
        <w:tc>
          <w:tcPr>
            <w:tcW w:type="dxa" w:w="2160"/>
          </w:tcPr>
          <w:p>
            <w:r>
              <w:t>GOAL: 특정 영역만 수정하여 사용자 피드백 반영</w:t>
              <w:br/>
              <w:t>TECH: Kandinsky 2.2 Inpainting Pipeline</w:t>
            </w:r>
          </w:p>
        </w:tc>
        <w:tc>
          <w:tcPr>
            <w:tcW w:type="dxa" w:w="2160"/>
          </w:tcPr>
          <w:p>
            <w:r>
              <w:t>INPUT: image + mask + prompt</w:t>
              <w:br/>
              <w:t>PROCESS: AutoPipelineForInpainting 로드 후 마스크 영역 재생성</w:t>
              <w:br/>
              <w:t>OUTPUT: inpainted image</w:t>
              <w:br/>
              <w:t>SOURCE: model_engine.inpaint_image()</w:t>
            </w:r>
          </w:p>
        </w:tc>
        <w:tc>
          <w:tcPr>
            <w:tcW w:type="dxa" w:w="2160"/>
          </w:tcPr>
          <w:p>
            <w:r>
              <w:t>유사도: 90% (High)</w:t>
              <w:br/>
              <w:t>- 동일 모델 사용</w:t>
              <w:br/>
              <w:t>- 개선: low_vram 전략 적용</w:t>
              <w:br/>
              <w:t>- 엔진 내 분리 로딩 구조</w:t>
            </w:r>
          </w:p>
        </w:tc>
      </w:tr>
      <w:tr>
        <w:tc>
          <w:tcPr>
            <w:tcW w:type="dxa" w:w="2160"/>
          </w:tcPr>
          <w:p>
            <w:r>
              <w:t>4. 메모리 및 자원 관리</w:t>
              <w:br/>
              <w:t>(Resource Management)</w:t>
            </w:r>
          </w:p>
        </w:tc>
        <w:tc>
          <w:tcPr>
            <w:tcW w:type="dxa" w:w="2160"/>
          </w:tcPr>
          <w:p>
            <w:r>
              <w:t>GOAL: 반복 추론 시 안정적 실행</w:t>
              <w:br/>
              <w:t>TECH: GPU 메모리 최적화 전략</w:t>
            </w:r>
          </w:p>
        </w:tc>
        <w:tc>
          <w:tcPr>
            <w:tcW w:type="dxa" w:w="2160"/>
          </w:tcPr>
          <w:p>
            <w:r>
              <w:t>PROCESS: del pipeline → gc.collect() → torch.cuda.empty_cache()</w:t>
              <w:br/>
              <w:t>SOURCE: cleanup_* 함수</w:t>
            </w:r>
          </w:p>
        </w:tc>
        <w:tc>
          <w:tcPr>
            <w:tcW w:type="dxa" w:w="2160"/>
          </w:tcPr>
          <w:p>
            <w:r>
              <w:t>유사도: 70% (Medium)</w:t>
              <w:br/>
              <w:t>- 논문 코드에는 명시적 정리 없음</w:t>
              <w:br/>
              <w:t>- 서비스 배포를 고려한 구조 추가</w:t>
              <w:br/>
              <w:t>- 메모리 안정성 강화</w:t>
            </w:r>
          </w:p>
        </w:tc>
      </w:tr>
      <w:tr>
        <w:tc>
          <w:tcPr>
            <w:tcW w:type="dxa" w:w="2160"/>
          </w:tcPr>
          <w:p>
            <w:r>
              <w:t>5. 구조적 아키텍처 차이</w:t>
              <w:br/>
              <w:t>(System Architecture)</w:t>
            </w:r>
          </w:p>
        </w:tc>
        <w:tc>
          <w:tcPr>
            <w:tcW w:type="dxa" w:w="2160"/>
          </w:tcPr>
          <w:p>
            <w:r>
              <w:t>GOAL: 연구 재현 중심 Notebook 구조</w:t>
              <w:br/>
              <w:t>TECH: 셀 단위 실행 구조</w:t>
            </w:r>
          </w:p>
        </w:tc>
        <w:tc>
          <w:tcPr>
            <w:tcW w:type="dxa" w:w="2160"/>
          </w:tcPr>
          <w:p>
            <w:r>
              <w:t>구조: ArtTherapyModel 클래스 기반 엔진화</w:t>
              <w:br/>
              <w:t>- Lazy Loading</w:t>
              <w:br/>
              <w:t>- Streamlit 배포 고려</w:t>
              <w:br/>
              <w:t>- 파라미터 관리 구조화</w:t>
            </w:r>
          </w:p>
        </w:tc>
        <w:tc>
          <w:tcPr>
            <w:tcW w:type="dxa" w:w="2160"/>
          </w:tcPr>
          <w:p>
            <w:r>
              <w:t>유사도: 85% (High)</w:t>
              <w:br/>
              <w:t>- 기술은 동일</w:t>
              <w:br/>
              <w:t>- 구조는 연구 코드 → 서비스 코드로 확장</w:t>
              <w:br/>
              <w:t>- 배포/재사용성 관점에서 개선</w:t>
            </w:r>
          </w:p>
        </w:tc>
      </w:tr>
    </w:tbl>
    <w:p>
      <w:r>
        <w:br/>
        <w:t>※ 유사도 기준</w:t>
      </w:r>
    </w:p>
    <w:p>
      <w:r>
        <w:t>High: 핵심 모델 및 알고리즘 동일</w:t>
      </w:r>
    </w:p>
    <w:p>
      <w:r>
        <w:t>Medium: 기술 동일하나 구현 목적/구조 차이 존재</w:t>
      </w:r>
    </w:p>
    <w:p>
      <w:r>
        <w:t>Very High: 구조 및 알고리즘 거의 동일, 파라미터 개선 수준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