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008dda"/>
          <w:sz w:val="18"/>
          <w:szCs w:val="18"/>
          <w:rtl w:val="0"/>
        </w:rPr>
        <w:t xml:space="preserve">SMART AUTOMATION CHALLENGE · FORMATION GEN AI &amp; IOT (SUJET 6)</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0b192c"/>
          <w:sz w:val="36"/>
          <w:szCs w:val="36"/>
          <w:rtl w:val="0"/>
        </w:rPr>
        <w:t xml:space="preserve">SÉCURITÉ ET TESTS DE BOUT EN BOUT (10%)</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i w:val="1"/>
          <w:iCs w:val="1"/>
          <w:color w:val="64748b"/>
          <w:sz w:val="21"/>
          <w:szCs w:val="21"/>
          <w:rtl w:val="0"/>
        </w:rPr>
        <w:t xml:space="preserve">Dossier d'ingénierie de sécurité : Protection des secrets, conformité PCI-DSS/CNDP, journalisation multi-niveaux, mécanismes de fallback SQL et campagne de tests Postman</w:t>
      </w:r>
      <w:r w:rsidDel="00000000" w:rsidR="00000000" w:rsidRPr="00000000">
        <w:rPr>
          <w:rtl w:val="0"/>
        </w:rPr>
      </w:r>
    </w:p>
    <w:tbl>
      <w:tblPr>
        <w:tblStyle w:val="Table1"/>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b w:val="1"/>
                <w:bCs w:val="1"/>
                <w:color w:val="1e3e62"/>
                <w:sz w:val="17"/>
                <w:szCs w:val="17"/>
                <w:rtl w:val="0"/>
              </w:rPr>
              <w:t xml:space="preserve">Projet / Solution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sz w:val="17"/>
                <w:szCs w:val="17"/>
                <w:rtl w:val="0"/>
              </w:rPr>
              <w:t xml:space="preserve">BankShield AI — Moteur d'évaluation des risques et détection de fraude en temps réel</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color w:val="1e3e62"/>
                <w:sz w:val="17"/>
                <w:szCs w:val="17"/>
                <w:rtl w:val="0"/>
              </w:rPr>
              <w:t xml:space="preserve">Équipe de Réalisation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sz w:val="17"/>
                <w:szCs w:val="17"/>
                <w:rtl w:val="0"/>
              </w:rPr>
              <w:t xml:space="preserve">Jihane Majdoul, Salma Boukhlal, Abdelouahed Ahnid, Yassine Hadrane, Youssef Ait Bakrim</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b w:val="1"/>
                <w:bCs w:val="1"/>
                <w:color w:val="1e3e62"/>
                <w:sz w:val="17"/>
                <w:szCs w:val="17"/>
                <w:rtl w:val="0"/>
              </w:rPr>
              <w:t xml:space="preserve">Encadrement Pédagogique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sz w:val="17"/>
                <w:szCs w:val="17"/>
                <w:rtl w:val="0"/>
              </w:rPr>
              <w:t xml:space="preserve">M. Achmi Gnae Diby | Formation Gen AI &amp; IoT</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color w:val="1e3e62"/>
                <w:sz w:val="17"/>
                <w:szCs w:val="17"/>
                <w:rtl w:val="0"/>
              </w:rPr>
              <w:t xml:space="preserve">Pondération Officielle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sz w:val="17"/>
                <w:szCs w:val="17"/>
                <w:rtl w:val="0"/>
              </w:rPr>
              <w:t xml:space="preserve">Sécurité et tests (Pondération : 10% de la note finale)</w:t>
            </w:r>
            <w:r w:rsidDel="00000000" w:rsidR="00000000" w:rsidRPr="00000000">
              <w:rPr>
                <w:rtl w:val="0"/>
              </w:rPr>
            </w:r>
          </w:p>
        </w:tc>
      </w:tr>
    </w:tbl>
    <w:p w:rsidR="00000000" w:rsidDel="00000000" w:rsidP="00000000" w:rsidRDefault="00000000" w:rsidRPr="00000000" w14:paraId="0000000C">
      <w:pPr>
        <w:spacing w:after="160" w:lineRule="auto"/>
        <w:rPr/>
      </w:pPr>
      <w:r w:rsidDel="00000000" w:rsidR="00000000" w:rsidRPr="00000000">
        <w:rPr>
          <w:rtl w:val="0"/>
        </w:rPr>
      </w:r>
    </w:p>
    <w:tbl>
      <w:tblPr>
        <w:tblStyle w:val="Table2"/>
        <w:tblW w:w="9638.0" w:type="dxa"/>
        <w:jc w:val="center"/>
        <w:tblLayout w:type="fixed"/>
        <w:tblLook w:val="0400"/>
      </w:tblPr>
      <w:tblGrid>
        <w:gridCol w:w="9638"/>
        <w:tblGridChange w:id="0">
          <w:tblGrid>
            <w:gridCol w:w="9638"/>
          </w:tblGrid>
        </w:tblGridChange>
      </w:tblGrid>
      <w:tr>
        <w:trPr>
          <w:cantSplit w:val="0"/>
          <w:tblHeader w:val="0"/>
        </w:trPr>
        <w:tc>
          <w:tcPr>
            <w:tcBorders>
              <w:top w:color="000000" w:space="0" w:sz="0" w:val="nil"/>
              <w:left w:color="008dda" w:space="0" w:sz="24" w:val="single"/>
              <w:bottom w:color="000000" w:space="0" w:sz="0" w:val="nil"/>
              <w:right w:color="000000" w:space="0" w:sz="0" w:val="nil"/>
            </w:tcBorders>
            <w:shd w:fill="f1f5f9" w:val="clear"/>
            <w:tcMar>
              <w:top w:w="140.0" w:type="dxa"/>
              <w:left w:w="200.0" w:type="dxa"/>
              <w:bottom w:w="140.0" w:type="dxa"/>
              <w:right w:w="180.0" w:type="dxa"/>
            </w:tcMar>
          </w:tcPr>
          <w:p w:rsidR="00000000" w:rsidDel="00000000" w:rsidP="00000000" w:rsidRDefault="00000000" w:rsidRPr="00000000" w14:paraId="0000000D">
            <w:pPr>
              <w:spacing w:after="40" w:before="0" w:lineRule="auto"/>
              <w:rPr/>
            </w:pPr>
            <w:r w:rsidDel="00000000" w:rsidR="00000000" w:rsidRPr="00000000">
              <w:rPr>
                <w:b w:val="1"/>
                <w:bCs w:val="1"/>
                <w:color w:val="1e3e62"/>
                <w:sz w:val="19"/>
                <w:szCs w:val="19"/>
                <w:rtl w:val="0"/>
              </w:rPr>
              <w:t xml:space="preserve">📌 EXIGENCE OFFICIELLE DE LA GRILLE (10%) : </w:t>
            </w:r>
            <w:r w:rsidDel="00000000" w:rsidR="00000000" w:rsidRPr="00000000">
              <w:rPr>
                <w:color w:val="1f2937"/>
                <w:sz w:val="19"/>
                <w:szCs w:val="19"/>
                <w:rtl w:val="0"/>
              </w:rPr>
              <w:t xml:space="preserve">Exigence officielle de la grille d'évaluation : « Secrets protégés, erreurs/logs/fallback et scénario de test stable de bout en bout. » (Pondération : 10%). Ce livrable démontre la robustesse opérationnelle de BankShield AI face aux incidents réseau, la protection cryptographique des flux et la reproductibilité des tests de validation.</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1. Protection des Secrets &amp; Chiffrement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Dans une application bancaire temps réel, la sécurité de l'infrastructure et la confidentialité des données sont régies par des exigences réglementaires strictes édictées par </w:t>
      </w:r>
      <w:r w:rsidDel="00000000" w:rsidR="00000000" w:rsidRPr="00000000">
        <w:rPr>
          <w:b w:val="1"/>
          <w:bCs w:val="1"/>
          <w:rtl w:val="0"/>
        </w:rPr>
        <w:t xml:space="preserve">Bank Al-Maghrib (BAM)</w:t>
      </w:r>
      <w:r w:rsidDel="00000000" w:rsidR="00000000" w:rsidRPr="00000000">
        <w:rPr>
          <w:rtl w:val="0"/>
        </w:rPr>
        <w:t xml:space="preserve"> et la </w:t>
      </w:r>
      <w:r w:rsidDel="00000000" w:rsidR="00000000" w:rsidRPr="00000000">
        <w:rPr>
          <w:b w:val="1"/>
          <w:bCs w:val="1"/>
          <w:rtl w:val="0"/>
        </w:rPr>
        <w:t xml:space="preserve">Commission Nationale de Contrôle de la Protection des Données à Caractère Personnel (CNDP - Loi 09-08)</w:t>
      </w:r>
      <w:r w:rsidDel="00000000" w:rsidR="00000000" w:rsidRPr="00000000">
        <w:rPr>
          <w:rtl w:val="0"/>
        </w:rPr>
        <w:t xml:space="preserve">.</w:t>
      </w:r>
    </w:p>
    <w:p w:rsidR="00000000" w:rsidDel="00000000" w:rsidP="00000000" w:rsidRDefault="00000000" w:rsidRPr="00000000" w14:paraId="00000011">
      <w:pPr>
        <w:keepNext w:val="1"/>
        <w:spacing w:after="80" w:before="240" w:lineRule="auto"/>
        <w:rPr/>
      </w:pPr>
      <w:r w:rsidDel="00000000" w:rsidR="00000000" w:rsidRPr="00000000">
        <w:rPr>
          <w:rFonts w:ascii="Arial" w:cs="Arial" w:eastAsia="Arial" w:hAnsi="Arial"/>
          <w:b w:val="1"/>
          <w:bCs w:val="1"/>
          <w:color w:val="1e3e62"/>
          <w:sz w:val="23"/>
          <w:szCs w:val="23"/>
          <w:rtl w:val="0"/>
        </w:rPr>
        <w:t xml:space="preserve">1.1 Piliers de Sécurité Appliqués dans BankShield AI</w:t>
      </w:r>
      <w:r w:rsidDel="00000000" w:rsidR="00000000" w:rsidRPr="00000000">
        <w:rPr>
          <w:rtl w:val="0"/>
        </w:rPr>
      </w:r>
    </w:p>
    <w:tbl>
      <w:tblPr>
        <w:tblStyle w:val="Table3"/>
        <w:tblW w:w="9639.0" w:type="dxa"/>
        <w:jc w:val="center"/>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0b192c" w:val="clea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b w:val="1"/>
                <w:bCs w:val="1"/>
                <w:color w:val="ffffff"/>
                <w:sz w:val="17"/>
                <w:szCs w:val="17"/>
                <w:rtl w:val="0"/>
              </w:rPr>
              <w:t xml:space="preserve">Domaine de Sécurité</w:t>
            </w:r>
            <w:r w:rsidDel="00000000" w:rsidR="00000000" w:rsidRPr="00000000">
              <w:rPr>
                <w:rtl w:val="0"/>
              </w:rPr>
            </w:r>
          </w:p>
        </w:tc>
        <w:tc>
          <w:tcPr>
            <w:shd w:fill="0b192c" w:val="clea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b w:val="1"/>
                <w:bCs w:val="1"/>
                <w:color w:val="ffffff"/>
                <w:sz w:val="17"/>
                <w:szCs w:val="17"/>
                <w:rtl w:val="0"/>
              </w:rPr>
              <w:t xml:space="preserve">Norme / Cadre</w:t>
            </w:r>
            <w:r w:rsidDel="00000000" w:rsidR="00000000" w:rsidRPr="00000000">
              <w:rPr>
                <w:rtl w:val="0"/>
              </w:rPr>
            </w:r>
          </w:p>
        </w:tc>
        <w:tc>
          <w:tcPr>
            <w:shd w:fill="0b192c" w:val="clea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b w:val="1"/>
                <w:bCs w:val="1"/>
                <w:color w:val="ffffff"/>
                <w:sz w:val="17"/>
                <w:szCs w:val="17"/>
                <w:rtl w:val="0"/>
              </w:rPr>
              <w:t xml:space="preserve">Implémentation Technique dans BankShield AI</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5">
            <w:pPr>
              <w:rPr/>
            </w:pPr>
            <w:r w:rsidDel="00000000" w:rsidR="00000000" w:rsidRPr="00000000">
              <w:rPr>
                <w:b w:val="1"/>
                <w:bCs w:val="1"/>
                <w:color w:val="1e3e62"/>
                <w:sz w:val="16"/>
                <w:szCs w:val="16"/>
                <w:rtl w:val="0"/>
              </w:rPr>
              <w:t xml:space="preserve">Masquage Numéro Carte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6">
            <w:pPr>
              <w:rPr/>
            </w:pPr>
            <w:r w:rsidDel="00000000" w:rsidR="00000000" w:rsidRPr="00000000">
              <w:rPr>
                <w:sz w:val="16"/>
                <w:szCs w:val="16"/>
                <w:rtl w:val="0"/>
              </w:rPr>
              <w:t xml:space="preserve">PCI-DSS v4.0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7">
            <w:pPr>
              <w:rPr/>
            </w:pPr>
            <w:r w:rsidDel="00000000" w:rsidR="00000000" w:rsidRPr="00000000">
              <w:rPr>
                <w:sz w:val="16"/>
                <w:szCs w:val="16"/>
                <w:rtl w:val="0"/>
              </w:rPr>
              <w:t xml:space="preserve">Stockage et affichage sous forme masquée 'card_pan_masked' : '4532 **** **** 1024'. Aucun PAN brut n'est logué.</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18">
            <w:pPr>
              <w:rPr/>
            </w:pPr>
            <w:r w:rsidDel="00000000" w:rsidR="00000000" w:rsidRPr="00000000">
              <w:rPr>
                <w:b w:val="1"/>
                <w:bCs w:val="1"/>
                <w:color w:val="1e3e62"/>
                <w:sz w:val="16"/>
                <w:szCs w:val="16"/>
                <w:rtl w:val="0"/>
              </w:rPr>
              <w:t xml:space="preserve">Données Personnelles (PII)</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19">
            <w:pPr>
              <w:rPr/>
            </w:pPr>
            <w:r w:rsidDel="00000000" w:rsidR="00000000" w:rsidRPr="00000000">
              <w:rPr>
                <w:sz w:val="16"/>
                <w:szCs w:val="16"/>
                <w:rtl w:val="0"/>
              </w:rPr>
              <w:t xml:space="preserve">CNDP (Loi 09-08)</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1A">
            <w:pPr>
              <w:rPr/>
            </w:pPr>
            <w:r w:rsidDel="00000000" w:rsidR="00000000" w:rsidRPr="00000000">
              <w:rPr>
                <w:sz w:val="16"/>
                <w:szCs w:val="16"/>
                <w:rtl w:val="0"/>
              </w:rPr>
              <w:t xml:space="preserve">Données strictement synthétiques et pseudonymisées. Les CIN et numéros (+212) respectent les algorithmes sans cibler d'individus réels.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B">
            <w:pPr>
              <w:rPr/>
            </w:pPr>
            <w:r w:rsidDel="00000000" w:rsidR="00000000" w:rsidRPr="00000000">
              <w:rPr>
                <w:b w:val="1"/>
                <w:bCs w:val="1"/>
                <w:color w:val="1e3e62"/>
                <w:sz w:val="16"/>
                <w:szCs w:val="16"/>
                <w:rtl w:val="0"/>
              </w:rPr>
              <w:t xml:space="preserve">Chiffrement en Transit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C">
            <w:pPr>
              <w:rPr/>
            </w:pPr>
            <w:r w:rsidDel="00000000" w:rsidR="00000000" w:rsidRPr="00000000">
              <w:rPr>
                <w:sz w:val="16"/>
                <w:szCs w:val="16"/>
                <w:rtl w:val="0"/>
              </w:rPr>
              <w:t xml:space="preserve">TLS 1.3 / HTTPS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D">
            <w:pPr>
              <w:rPr/>
            </w:pPr>
            <w:r w:rsidDel="00000000" w:rsidR="00000000" w:rsidRPr="00000000">
              <w:rPr>
                <w:sz w:val="16"/>
                <w:szCs w:val="16"/>
                <w:rtl w:val="0"/>
              </w:rPr>
              <w:t xml:space="preserve">Toutes les connexions (REST API, Webhook AbaFusion, Pooler Supabase Port 6543) sont sécurisées par chiffrement SSL/TLS fort.</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1E">
            <w:pPr>
              <w:rPr/>
            </w:pPr>
            <w:r w:rsidDel="00000000" w:rsidR="00000000" w:rsidRPr="00000000">
              <w:rPr>
                <w:b w:val="1"/>
                <w:bCs w:val="1"/>
                <w:color w:val="1e3e62"/>
                <w:sz w:val="16"/>
                <w:szCs w:val="16"/>
                <w:rtl w:val="0"/>
              </w:rPr>
              <w:t xml:space="preserve">Chiffrement au Repos</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1F">
            <w:pPr>
              <w:rPr/>
            </w:pPr>
            <w:r w:rsidDel="00000000" w:rsidR="00000000" w:rsidRPr="00000000">
              <w:rPr>
                <w:sz w:val="16"/>
                <w:szCs w:val="16"/>
                <w:rtl w:val="0"/>
              </w:rPr>
              <w:t xml:space="preserve">AES-256</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20">
            <w:pPr>
              <w:rPr/>
            </w:pPr>
            <w:r w:rsidDel="00000000" w:rsidR="00000000" w:rsidRPr="00000000">
              <w:rPr>
                <w:sz w:val="16"/>
                <w:szCs w:val="16"/>
                <w:rtl w:val="0"/>
              </w:rPr>
              <w:t xml:space="preserve">La base PostgreSQL managée Supabase applique le chiffrement transparent des volumes au repos (Encryption at Rest).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1">
            <w:pPr>
              <w:rPr/>
            </w:pPr>
            <w:r w:rsidDel="00000000" w:rsidR="00000000" w:rsidRPr="00000000">
              <w:rPr>
                <w:b w:val="1"/>
                <w:bCs w:val="1"/>
                <w:color w:val="1e3e62"/>
                <w:sz w:val="16"/>
                <w:szCs w:val="16"/>
                <w:rtl w:val="0"/>
              </w:rPr>
              <w:t xml:space="preserve">Gestion des Secrets API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2">
            <w:pPr>
              <w:rPr/>
            </w:pPr>
            <w:r w:rsidDel="00000000" w:rsidR="00000000" w:rsidRPr="00000000">
              <w:rPr>
                <w:sz w:val="16"/>
                <w:szCs w:val="16"/>
                <w:rtl w:val="0"/>
              </w:rPr>
              <w:t xml:space="preserve">Twelve-Factor App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3">
            <w:pPr>
              <w:rPr/>
            </w:pPr>
            <w:r w:rsidDel="00000000" w:rsidR="00000000" w:rsidRPr="00000000">
              <w:rPr>
                <w:sz w:val="16"/>
                <w:szCs w:val="16"/>
                <w:rtl w:val="0"/>
              </w:rPr>
              <w:t xml:space="preserve">Clés API, Service Role Keys et URL Webhook stockées dans des variables d'environnement isolées et hors des dépôts publics.</w:t>
            </w:r>
            <w:r w:rsidDel="00000000" w:rsidR="00000000" w:rsidRPr="00000000">
              <w:rPr>
                <w:rtl w:val="0"/>
              </w:rPr>
            </w:r>
          </w:p>
        </w:tc>
      </w:tr>
    </w:tbl>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2. Gestion des Erreurs, Journalisation &amp; Mécanismes de Fallback</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Une panne réseau ou une indisponibilité temporaire d'un webhook d'orchestration ne doit jamais bloquer le système de paiement ni provoquer d'incohérence dans la base de données. BankShield AI implémente une </w:t>
      </w:r>
      <w:r w:rsidDel="00000000" w:rsidR="00000000" w:rsidRPr="00000000">
        <w:rPr>
          <w:b w:val="1"/>
          <w:bCs w:val="1"/>
          <w:rtl w:val="0"/>
        </w:rPr>
        <w:t xml:space="preserve">stratégie de résilience multi-niveaux</w:t>
      </w:r>
      <w:r w:rsidDel="00000000" w:rsidR="00000000" w:rsidRPr="00000000">
        <w:rPr>
          <w:rtl w:val="0"/>
        </w:rPr>
        <w:t xml:space="preserve"> :</w:t>
      </w:r>
    </w:p>
    <w:p w:rsidR="00000000" w:rsidDel="00000000" w:rsidP="00000000" w:rsidRDefault="00000000" w:rsidRPr="00000000" w14:paraId="00000027">
      <w:pPr>
        <w:spacing w:after="60" w:lineRule="auto"/>
        <w:ind w:left="454" w:firstLine="0"/>
        <w:rPr/>
      </w:pPr>
      <w:r w:rsidDel="00000000" w:rsidR="00000000" w:rsidRPr="00000000">
        <w:rPr>
          <w:b w:val="1"/>
          <w:bCs w:val="1"/>
          <w:color w:val="1e3e62"/>
          <w:rtl w:val="0"/>
        </w:rPr>
        <w:t xml:space="preserve">• Niveau 1 — Mécanisme de Fallback SQL Automatique (Client App) :</w:t>
        <w:br w:type="textWrapping"/>
      </w:r>
      <w:r w:rsidDel="00000000" w:rsidR="00000000" w:rsidRPr="00000000">
        <w:rPr>
          <w:rtl w:val="0"/>
        </w:rPr>
        <w:t xml:space="preserve"> Lorsque l'application cliente transmet une transaction, elle tente d'abord d'alimenter le Webhook Fusion AI. En cas d'échec réseau, de timeout HTTP ou d'erreur 5xx, l'application exécute un fallback automatique direct vers l'API REST de Supabase pour persister la transaction sans perte.</w:t>
      </w:r>
    </w:p>
    <w:p w:rsidR="00000000" w:rsidDel="00000000" w:rsidP="00000000" w:rsidRDefault="00000000" w:rsidRPr="00000000" w14:paraId="00000028">
      <w:pPr>
        <w:spacing w:after="60" w:lineRule="auto"/>
        <w:ind w:left="454" w:firstLine="0"/>
        <w:rPr/>
      </w:pPr>
      <w:r w:rsidDel="00000000" w:rsidR="00000000" w:rsidRPr="00000000">
        <w:rPr>
          <w:b w:val="1"/>
          <w:bCs w:val="1"/>
          <w:color w:val="1e3e62"/>
          <w:rtl w:val="0"/>
        </w:rPr>
        <w:t xml:space="preserve">• Niveau 2 — Résilience des Clés Étrangères (SQL Error 23503 Prevention) :</w:t>
        <w:br w:type="textWrapping"/>
      </w:r>
      <w:r w:rsidDel="00000000" w:rsidR="00000000" w:rsidRPr="00000000">
        <w:rPr>
          <w:rtl w:val="0"/>
        </w:rPr>
        <w:t xml:space="preserve"> Pour éviter que la table 'fraud_alerts' ou 'risk_evaluations' ne rejette une alerte suite à une violation de clé étrangère, le moteur garantit que la transaction parente existe impérativement dans 'transactions' avant l'évaluation.</w:t>
      </w:r>
    </w:p>
    <w:p w:rsidR="00000000" w:rsidDel="00000000" w:rsidP="00000000" w:rsidRDefault="00000000" w:rsidRPr="00000000" w14:paraId="00000029">
      <w:pPr>
        <w:spacing w:after="60" w:lineRule="auto"/>
        <w:ind w:left="454" w:firstLine="0"/>
        <w:rPr/>
      </w:pPr>
      <w:r w:rsidDel="00000000" w:rsidR="00000000" w:rsidRPr="00000000">
        <w:rPr>
          <w:b w:val="1"/>
          <w:bCs w:val="1"/>
          <w:color w:val="1e3e62"/>
          <w:rtl w:val="0"/>
        </w:rPr>
        <w:t xml:space="preserve">• Niveau 3 — Règle de Fallback Client Inconnu (RG-00) :</w:t>
        <w:br w:type="textWrapping"/>
      </w:r>
      <w:r w:rsidDel="00000000" w:rsidR="00000000" w:rsidRPr="00000000">
        <w:rPr>
          <w:rtl w:val="0"/>
        </w:rPr>
        <w:t xml:space="preserve"> Si une transaction est émise pour un client dont le profil de référence est absent de la base, le moteur de règles ne crashe pas. Il déclenche la règle protectrice RG-00 attribuant un score conservatoire de +50 points et mandate une vérification d'identité.</w:t>
      </w:r>
    </w:p>
    <w:p w:rsidR="00000000" w:rsidDel="00000000" w:rsidP="00000000" w:rsidRDefault="00000000" w:rsidRPr="00000000" w14:paraId="0000002A">
      <w:pPr>
        <w:spacing w:after="60" w:lineRule="auto"/>
        <w:ind w:left="454" w:firstLine="0"/>
        <w:rPr/>
      </w:pPr>
      <w:r w:rsidDel="00000000" w:rsidR="00000000" w:rsidRPr="00000000">
        <w:rPr>
          <w:b w:val="1"/>
          <w:bCs w:val="1"/>
          <w:color w:val="1e3e62"/>
          <w:rtl w:val="0"/>
        </w:rPr>
        <w:t xml:space="preserve">• Niveau 4 — Nœuds de Journalisation Multi-Étapes (Logs Fusion AI) :</w:t>
        <w:br w:type="textWrapping"/>
      </w:r>
      <w:r w:rsidDel="00000000" w:rsidR="00000000" w:rsidRPr="00000000">
        <w:rPr>
          <w:rtl w:val="0"/>
        </w:rPr>
        <w:t xml:space="preserve"> Le pipeline Fusion AI intègre 4 nœuds de log dédiés (Log1, Log2, Log3, Log4) qui capturent les payloads bruts entrants, l'état après calcul de vélocité, les scores intermédiaires et le résultat de l'Agent IA.</w:t>
      </w:r>
    </w:p>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keepNext w:val="1"/>
        <w:spacing w:after="80" w:before="240" w:lineRule="auto"/>
        <w:rPr/>
      </w:pPr>
      <w:r w:rsidDel="00000000" w:rsidR="00000000" w:rsidRPr="00000000">
        <w:rPr>
          <w:rFonts w:ascii="Arial" w:cs="Arial" w:eastAsia="Arial" w:hAnsi="Arial"/>
          <w:b w:val="1"/>
          <w:bCs w:val="1"/>
          <w:color w:val="1e3e62"/>
          <w:sz w:val="23"/>
          <w:szCs w:val="23"/>
          <w:rtl w:val="0"/>
        </w:rPr>
        <w:t xml:space="preserve">2.1 Code du Mécanisme de Fallback dans l'Application Cliente</w:t>
      </w:r>
      <w:r w:rsidDel="00000000" w:rsidR="00000000" w:rsidRPr="00000000">
        <w:rPr>
          <w:rtl w:val="0"/>
        </w:rPr>
      </w:r>
    </w:p>
    <w:tbl>
      <w:tblPr>
        <w:tblStyle w:val="Table4"/>
        <w:tblW w:w="9638.0" w:type="dxa"/>
        <w:jc w:val="center"/>
        <w:tblLayout w:type="fixed"/>
        <w:tblLook w:val="0400"/>
      </w:tblPr>
      <w:tblGrid>
        <w:gridCol w:w="9638"/>
        <w:tblGridChange w:id="0">
          <w:tblGrid>
            <w:gridCol w:w="9638"/>
          </w:tblGrid>
        </w:tblGridChange>
      </w:tblGrid>
      <w:tr>
        <w:trPr>
          <w:cantSplit w:val="0"/>
          <w:tblHeader w:val="0"/>
        </w:trPr>
        <w:tc>
          <w:tcPr>
            <w:tcBorders>
              <w:top w:color="1e293b" w:space="0" w:sz="6" w:val="single"/>
              <w:left w:color="38bdf8" w:space="0" w:sz="18" w:val="single"/>
              <w:bottom w:color="1e293b" w:space="0" w:sz="6" w:val="single"/>
              <w:right w:color="1e293b" w:space="0" w:sz="6" w:val="single"/>
            </w:tcBorders>
            <w:shd w:fill="0f172a" w:val="clear"/>
            <w:tcMar>
              <w:top w:w="120.0" w:type="dxa"/>
              <w:left w:w="180.0" w:type="dxa"/>
              <w:bottom w:w="120.0" w:type="dxa"/>
              <w:right w:w="160.0" w:type="dxa"/>
            </w:tcMar>
          </w:tcPr>
          <w:p w:rsidR="00000000" w:rsidDel="00000000" w:rsidP="00000000" w:rsidRDefault="00000000" w:rsidRPr="00000000" w14:paraId="0000002D">
            <w:pPr>
              <w:spacing w:after="0" w:before="0" w:line="276" w:lineRule="auto"/>
              <w:rPr/>
            </w:pPr>
            <w:r w:rsidDel="00000000" w:rsidR="00000000" w:rsidRPr="00000000">
              <w:rPr>
                <w:rFonts w:ascii="Consolas" w:cs="Consolas" w:eastAsia="Consolas" w:hAnsi="Consolas"/>
                <w:color w:val="e2e8f0"/>
                <w:sz w:val="17"/>
                <w:szCs w:val="17"/>
                <w:rtl w:val="0"/>
              </w:rPr>
              <w:t xml:space="preserve">// Extrait de l'application cliente : Fallback garanti vers Supabase</w:t>
              <w:br w:type="textWrapping"/>
              <w:t xml:space="preserve">async function sendTransaction() {</w:t>
              <w:br w:type="textWrapping"/>
              <w:t xml:space="preserve">  const payload = generatePayload();</w:t>
              <w:br w:type="textWrapping"/>
              <w:t xml:space="preserve">  </w:t>
              <w:br w:type="textWrapping"/>
              <w:t xml:space="preserve">  // 1. Sauvegarde systématique dans Supabase pour garantir l'intégrité relationnelle</w:t>
              <w:br w:type="textWrapping"/>
              <w:t xml:space="preserve">  try {</w:t>
              <w:br w:type="textWrapping"/>
              <w:t xml:space="preserve">    await sendToSupabase(payload);</w:t>
              <w:br w:type="textWrapping"/>
              <w:t xml:space="preserve">  } catch (err) {</w:t>
              <w:br w:type="textWrapping"/>
              <w:t xml:space="preserve">    console.warn("Échec insertion Supabase directe : tentative de réessai");</w:t>
              <w:br w:type="textWrapping"/>
              <w:t xml:space="preserve">  }</w:t>
              <w:br w:type="textWrapping"/>
              <w:br w:type="textWrapping"/>
              <w:t xml:space="preserve">  // 2. Routage vers l'Orchestrateur Webhook avec gestion d'erreur robuste</w:t>
              <w:br w:type="textWrapping"/>
              <w:t xml:space="preserve">  if (currentMode === 'webhook' || currentMode === 'dual') {</w:t>
              <w:br w:type="textWrapping"/>
              <w:t xml:space="preserve">    try {</w:t>
              <w:br w:type="textWrapping"/>
              <w:t xml:space="preserve">      const response = await sendToWebhook(payload);</w:t>
              <w:br w:type="textWrapping"/>
              <w:t xml:space="preserve">      displayResult(200, "Transaction auditée avec succès par Fusion AI", response.latency);</w:t>
              <w:br w:type="textWrapping"/>
              <w:t xml:space="preserve">    } catch (webhookError) {</w:t>
              <w:br w:type="textWrapping"/>
              <w:t xml:space="preserve">      // Fallback gracieux : notification à l'analyste sans crash de l'interface</w:t>
              <w:br w:type="textWrapping"/>
              <w:t xml:space="preserve">      displayResult(202, "Webhook injoignable : Transaction enregistrée en base pour réévaluation différée", 0);</w:t>
              <w:br w:type="textWrapping"/>
              <w:t xml:space="preserve">      console.error("Fallback déclenché suite à l'erreur webhook:", webhookError);</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3. Scénario de Test Stable de Bout en Bout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 stabilité du système a été validée par une chaîne de tests d'intégration complète couvrant l'intégralité du cycle de vie d'une transaction financière :</w:t>
      </w:r>
    </w:p>
    <w:p w:rsidR="00000000" w:rsidDel="00000000" w:rsidP="00000000" w:rsidRDefault="00000000" w:rsidRPr="00000000" w14:paraId="00000031">
      <w:pPr>
        <w:spacing w:after="60" w:lineRule="auto"/>
        <w:ind w:left="454" w:firstLine="0"/>
        <w:rPr/>
      </w:pPr>
      <w:r w:rsidDel="00000000" w:rsidR="00000000" w:rsidRPr="00000000">
        <w:rPr>
          <w:b w:val="1"/>
          <w:bCs w:val="1"/>
          <w:color w:val="1e3e62"/>
          <w:rtl w:val="0"/>
        </w:rPr>
        <w:t xml:space="preserve">• Étape 1 : Émission de l'Ordre (Client App) : </w:t>
      </w:r>
      <w:r w:rsidDel="00000000" w:rsidR="00000000" w:rsidRPr="00000000">
        <w:rPr>
          <w:rtl w:val="0"/>
        </w:rPr>
        <w:t xml:space="preserve">Le client saisit son paiement ou déclenche un scénario en 1 clic sur l'application mobile (Port 8000).</w:t>
      </w:r>
    </w:p>
    <w:p w:rsidR="00000000" w:rsidDel="00000000" w:rsidP="00000000" w:rsidRDefault="00000000" w:rsidRPr="00000000" w14:paraId="00000032">
      <w:pPr>
        <w:spacing w:after="60" w:lineRule="auto"/>
        <w:ind w:left="454" w:firstLine="0"/>
        <w:rPr/>
      </w:pPr>
      <w:r w:rsidDel="00000000" w:rsidR="00000000" w:rsidRPr="00000000">
        <w:rPr>
          <w:b w:val="1"/>
          <w:bCs w:val="1"/>
          <w:color w:val="1e3e62"/>
          <w:rtl w:val="0"/>
        </w:rPr>
        <w:t xml:space="preserve">• Étape 2 : Transmission Sécurisée (Proxy CORS) : </w:t>
      </w:r>
      <w:r w:rsidDel="00000000" w:rsidR="00000000" w:rsidRPr="00000000">
        <w:rPr>
          <w:rtl w:val="0"/>
        </w:rPr>
        <w:t xml:space="preserve">Le proxy Python local (Port 8001) intercepte la requête, gère les en-têtes OPTIONS et relaie le flux avec TLS.</w:t>
      </w:r>
    </w:p>
    <w:p w:rsidR="00000000" w:rsidDel="00000000" w:rsidP="00000000" w:rsidRDefault="00000000" w:rsidRPr="00000000" w14:paraId="00000033">
      <w:pPr>
        <w:spacing w:after="60" w:lineRule="auto"/>
        <w:ind w:left="454" w:firstLine="0"/>
        <w:rPr/>
      </w:pPr>
      <w:r w:rsidDel="00000000" w:rsidR="00000000" w:rsidRPr="00000000">
        <w:rPr>
          <w:b w:val="1"/>
          <w:bCs w:val="1"/>
          <w:color w:val="1e3e62"/>
          <w:rtl w:val="0"/>
        </w:rPr>
        <w:t xml:space="preserve">• Étape 3 : Ingestion &amp; Analyse (Fusion AI) : </w:t>
      </w:r>
      <w:r w:rsidDel="00000000" w:rsidR="00000000" w:rsidRPr="00000000">
        <w:rPr>
          <w:rtl w:val="0"/>
        </w:rPr>
        <w:t xml:space="preserve">L'orchestrateur reçoit le payload JSON, extrait les métriques historiques du client depuis Supabase et exécute les 12 règles JavaScript.</w:t>
      </w:r>
    </w:p>
    <w:p w:rsidR="00000000" w:rsidDel="00000000" w:rsidP="00000000" w:rsidRDefault="00000000" w:rsidRPr="00000000" w14:paraId="00000034">
      <w:pPr>
        <w:spacing w:after="60" w:lineRule="auto"/>
        <w:ind w:left="454" w:firstLine="0"/>
        <w:rPr/>
      </w:pPr>
      <w:r w:rsidDel="00000000" w:rsidR="00000000" w:rsidRPr="00000000">
        <w:rPr>
          <w:b w:val="1"/>
          <w:bCs w:val="1"/>
          <w:color w:val="1e3e62"/>
          <w:rtl w:val="0"/>
        </w:rPr>
        <w:t xml:space="preserve">• Étape 4 : Évaluation du Risque (Score 0-100) : </w:t>
      </w:r>
      <w:r w:rsidDel="00000000" w:rsidR="00000000" w:rsidRPr="00000000">
        <w:rPr>
          <w:rtl w:val="0"/>
        </w:rPr>
        <w:t xml:space="preserve">Si le score est &lt; 66, la transaction est approuvée ou challengée. Si le score est &gt;= 66, l'Agent IA est sollicité.</w:t>
      </w:r>
    </w:p>
    <w:p w:rsidR="00000000" w:rsidDel="00000000" w:rsidP="00000000" w:rsidRDefault="00000000" w:rsidRPr="00000000" w14:paraId="00000035">
      <w:pPr>
        <w:spacing w:after="60" w:lineRule="auto"/>
        <w:ind w:left="454" w:firstLine="0"/>
        <w:rPr/>
      </w:pPr>
      <w:r w:rsidDel="00000000" w:rsidR="00000000" w:rsidRPr="00000000">
        <w:rPr>
          <w:b w:val="1"/>
          <w:bCs w:val="1"/>
          <w:color w:val="1e3e62"/>
          <w:rtl w:val="0"/>
        </w:rPr>
        <w:t xml:space="preserve">• Étape 5 : Enquête Contextuelle (Agent IA) : </w:t>
      </w:r>
      <w:r w:rsidDel="00000000" w:rsidR="00000000" w:rsidRPr="00000000">
        <w:rPr>
          <w:rtl w:val="0"/>
        </w:rPr>
        <w:t xml:space="preserve">Le nœud LLM génère la synthèse narrative, extrait les facteurs clés et recommande une action conservatoire en format JSON strict.</w:t>
      </w:r>
    </w:p>
    <w:p w:rsidR="00000000" w:rsidDel="00000000" w:rsidP="00000000" w:rsidRDefault="00000000" w:rsidRPr="00000000" w14:paraId="00000036">
      <w:pPr>
        <w:spacing w:after="60" w:lineRule="auto"/>
        <w:ind w:left="454" w:firstLine="0"/>
        <w:rPr/>
      </w:pPr>
      <w:r w:rsidDel="00000000" w:rsidR="00000000" w:rsidRPr="00000000">
        <w:rPr>
          <w:b w:val="1"/>
          <w:bCs w:val="1"/>
          <w:color w:val="1e3e62"/>
          <w:rtl w:val="0"/>
        </w:rPr>
        <w:t xml:space="preserve">• Étape 6 : Persistance &amp; Réplication : </w:t>
      </w:r>
      <w:r w:rsidDel="00000000" w:rsidR="00000000" w:rsidRPr="00000000">
        <w:rPr>
          <w:rtl w:val="0"/>
        </w:rPr>
        <w:t xml:space="preserve">Les tables PostgreSQL transactions, risk_evaluations et fraud_alerts sont alimentées. Les événements sont diffusés en temps réel via Supabase Realtime.</w:t>
      </w:r>
    </w:p>
    <w:p w:rsidR="00000000" w:rsidDel="00000000" w:rsidP="00000000" w:rsidRDefault="00000000" w:rsidRPr="00000000" w14:paraId="00000037">
      <w:pPr>
        <w:spacing w:after="60" w:lineRule="auto"/>
        <w:ind w:left="454" w:firstLine="0"/>
        <w:rPr/>
      </w:pPr>
      <w:r w:rsidDel="00000000" w:rsidR="00000000" w:rsidRPr="00000000">
        <w:rPr>
          <w:b w:val="1"/>
          <w:bCs w:val="1"/>
          <w:color w:val="1e3e62"/>
          <w:rtl w:val="0"/>
        </w:rPr>
        <w:t xml:space="preserve">• Étape 7 : Arbitrage Humain (Dashboard SOC) : </w:t>
      </w:r>
      <w:r w:rsidDel="00000000" w:rsidR="00000000" w:rsidRPr="00000000">
        <w:rPr>
          <w:rtl w:val="0"/>
        </w:rPr>
        <w:t xml:space="preserve">L'analyste SOC visualise l'alerte sur le Dashboard et arbitre en 1 clic (CONFIRMED_FRAUD / FALSE_POSITIVE) avec notification Slack.</w:t>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4. Données de Test Postman (Conformes à la Dernière Transaction)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Pour permettre aux membres du jury et aux évaluateurs d'injecter des tests directement via </w:t>
      </w:r>
      <w:r w:rsidDel="00000000" w:rsidR="00000000" w:rsidRPr="00000000">
        <w:rPr>
          <w:b w:val="1"/>
          <w:bCs w:val="1"/>
          <w:rtl w:val="0"/>
        </w:rPr>
        <w:t xml:space="preserve">Postman</w:t>
      </w:r>
      <w:r w:rsidDel="00000000" w:rsidR="00000000" w:rsidRPr="00000000">
        <w:rPr>
          <w:rtl w:val="0"/>
        </w:rPr>
        <w:t xml:space="preserve">, voici la structure exacte du corps de requête (</w:t>
      </w:r>
      <w:r w:rsidDel="00000000" w:rsidR="00000000" w:rsidRPr="00000000">
        <w:rPr>
          <w:b w:val="1"/>
          <w:bCs w:val="1"/>
          <w:rtl w:val="0"/>
        </w:rPr>
        <w:t xml:space="preserve">Body raw / JSON</w:t>
      </w:r>
      <w:r w:rsidDel="00000000" w:rsidR="00000000" w:rsidRPr="00000000">
        <w:rPr>
          <w:rtl w:val="0"/>
        </w:rPr>
        <w:t xml:space="preserve">) strictement conforme au format de la dernière transaction persistée en base :</w:t>
      </w:r>
    </w:p>
    <w:p w:rsidR="00000000" w:rsidDel="00000000" w:rsidP="00000000" w:rsidRDefault="00000000" w:rsidRPr="00000000" w14:paraId="0000003B">
      <w:pPr>
        <w:keepNext w:val="1"/>
        <w:spacing w:after="80" w:before="240" w:lineRule="auto"/>
        <w:rPr/>
      </w:pPr>
      <w:r w:rsidDel="00000000" w:rsidR="00000000" w:rsidRPr="00000000">
        <w:rPr>
          <w:rFonts w:ascii="Arial" w:cs="Arial" w:eastAsia="Arial" w:hAnsi="Arial"/>
          <w:b w:val="1"/>
          <w:bCs w:val="1"/>
          <w:color w:val="1e3e62"/>
          <w:sz w:val="23"/>
          <w:szCs w:val="23"/>
          <w:rtl w:val="0"/>
        </w:rPr>
        <w:t xml:space="preserve">4.1 Payload JSON Postman — Dernière Transaction d'Attaque (Cas Réel)</w:t>
      </w:r>
      <w:r w:rsidDel="00000000" w:rsidR="00000000" w:rsidRPr="00000000">
        <w:rPr>
          <w:rtl w:val="0"/>
        </w:rPr>
      </w:r>
    </w:p>
    <w:tbl>
      <w:tblPr>
        <w:tblStyle w:val="Table5"/>
        <w:tblW w:w="9638.0" w:type="dxa"/>
        <w:jc w:val="center"/>
        <w:tblLayout w:type="fixed"/>
        <w:tblLook w:val="0400"/>
      </w:tblPr>
      <w:tblGrid>
        <w:gridCol w:w="9638"/>
        <w:tblGridChange w:id="0">
          <w:tblGrid>
            <w:gridCol w:w="9638"/>
          </w:tblGrid>
        </w:tblGridChange>
      </w:tblGrid>
      <w:tr>
        <w:trPr>
          <w:cantSplit w:val="0"/>
          <w:tblHeader w:val="0"/>
        </w:trPr>
        <w:tc>
          <w:tcPr>
            <w:tcBorders>
              <w:top w:color="1e293b" w:space="0" w:sz="6" w:val="single"/>
              <w:left w:color="38bdf8" w:space="0" w:sz="18" w:val="single"/>
              <w:bottom w:color="1e293b" w:space="0" w:sz="6" w:val="single"/>
              <w:right w:color="1e293b" w:space="0" w:sz="6" w:val="single"/>
            </w:tcBorders>
            <w:shd w:fill="0f172a" w:val="clear"/>
            <w:tcMar>
              <w:top w:w="120.0" w:type="dxa"/>
              <w:left w:w="180.0" w:type="dxa"/>
              <w:bottom w:w="120.0" w:type="dxa"/>
              <w:right w:w="160.0" w:type="dxa"/>
            </w:tcMar>
          </w:tcPr>
          <w:p w:rsidR="00000000" w:rsidDel="00000000" w:rsidP="00000000" w:rsidRDefault="00000000" w:rsidRPr="00000000" w14:paraId="0000003C">
            <w:pPr>
              <w:spacing w:after="0" w:before="0" w:line="276" w:lineRule="auto"/>
              <w:rPr/>
            </w:pPr>
            <w:r w:rsidDel="00000000" w:rsidR="00000000" w:rsidRPr="00000000">
              <w:rPr>
                <w:rFonts w:ascii="Consolas" w:cs="Consolas" w:eastAsia="Consolas" w:hAnsi="Consolas"/>
                <w:color w:val="e2e8f0"/>
                <w:sz w:val="17"/>
                <w:szCs w:val="17"/>
                <w:rtl w:val="0"/>
              </w:rPr>
              <w:t xml:space="preserve">{</w:t>
              <w:br w:type="textWrapping"/>
              <w:t xml:space="preserve">  "transaction_id": "TRX-APP-1789595761-891",</w:t>
              <w:br w:type="textWrapping"/>
              <w:t xml:space="preserve">  "customer_id": "CUST-1005",</w:t>
              <w:br w:type="textWrapping"/>
              <w:t xml:space="preserve">  "source_rib": "013780000998877665544322",</w:t>
              <w:br w:type="textWrapping"/>
              <w:t xml:space="preserve">  "card_pan_masked": "4532 **** **** 1024",</w:t>
              <w:br w:type="textWrapping"/>
              <w:t xml:space="preserve">  "transaction_type": "TRANSFER",</w:t>
              <w:br w:type="textWrapping"/>
              <w:t xml:space="preserve">  "amount": 22000.00,</w:t>
              <w:br w:type="textWrapping"/>
              <w:t xml:space="preserve">  "currency": "MAD",</w:t>
              <w:br w:type="textWrapping"/>
              <w:t xml:space="preserve">  "channel": "web_banking",</w:t>
              <w:br w:type="textWrapping"/>
              <w:t xml:space="preserve">  "beneficiary_name": "Amadou Diallo (SN08-9999-7777)",</w:t>
              <w:br w:type="textWrapping"/>
              <w:t xml:space="preserve">  "beneficiary_rib": "007780000998877665544999",</w:t>
              <w:br w:type="textWrapping"/>
              <w:t xml:space="preserve">  "merchant_category": "wire_transfer",</w:t>
              <w:br w:type="textWrapping"/>
              <w:t xml:space="preserve">  "location_city": "Dakar",</w:t>
              <w:br w:type="textWrapping"/>
              <w:t xml:space="preserve">  "location_country": "SN",</w:t>
              <w:br w:type="textWrapping"/>
              <w:t xml:space="preserve">  "ip_address": "154.124.33.10",</w:t>
              <w:br w:type="textWrapping"/>
              <w:t xml:space="preserve">  "device_id": "Linux x86_64 (Tor Browser)",</w:t>
              <w:br w:type="textWrapping"/>
              <w:t xml:space="preserve">  "auth_factor": "NONE",</w:t>
              <w:br w:type="textWrapping"/>
              <w:t xml:space="preserve">  "prev_location_city": "Fès",</w:t>
              <w:br w:type="textWrapping"/>
              <w:t xml:space="preserve">  "prev_transaction_at": "2026-09-16T21:41:01.498Z",</w:t>
              <w:br w:type="textWrapping"/>
              <w:t xml:space="preserve">  "timestamp": "2026-09-16T21:56:01.498Z",</w:t>
              <w:br w:type="textWrapping"/>
              <w:t xml:space="preserve">  "tx_count_last_10m": 3,</w:t>
              <w:br w:type="textWrapping"/>
              <w:t xml:space="preserve">  "tx_count_last_hour": 4,</w:t>
              <w:br w:type="textWrapping"/>
              <w:t xml:space="preserve">  "tx_count_today": 12,</w:t>
              <w:br w:type="textWrapping"/>
              <w:t xml:space="preserve">  "daily_cumulative_amount": 216750.00,</w:t>
              <w:br w:type="textWrapping"/>
              <w:t xml:space="preserve">  "customer_avg_daily_tx_count": 6.5,</w:t>
              <w:br w:type="textWrapping"/>
              <w:t xml:space="preserve">  "is_cheked": true</w:t>
              <w:br w:type="textWrapping"/>
              <w:t xml:space="preserve">}</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keepNext w:val="1"/>
        <w:spacing w:after="80" w:before="240" w:lineRule="auto"/>
        <w:rPr/>
      </w:pPr>
      <w:r w:rsidDel="00000000" w:rsidR="00000000" w:rsidRPr="00000000">
        <w:rPr>
          <w:rFonts w:ascii="Arial" w:cs="Arial" w:eastAsia="Arial" w:hAnsi="Arial"/>
          <w:b w:val="1"/>
          <w:bCs w:val="1"/>
          <w:color w:val="1e3e62"/>
          <w:sz w:val="23"/>
          <w:szCs w:val="23"/>
          <w:rtl w:val="0"/>
        </w:rPr>
        <w:t xml:space="preserve">4.2 Payload JSON Postman — Transaction Normale Quotidienne (Cas Légitime)</w:t>
      </w:r>
      <w:r w:rsidDel="00000000" w:rsidR="00000000" w:rsidRPr="00000000">
        <w:rPr>
          <w:rtl w:val="0"/>
        </w:rPr>
      </w:r>
    </w:p>
    <w:tbl>
      <w:tblPr>
        <w:tblStyle w:val="Table6"/>
        <w:tblW w:w="9638.0" w:type="dxa"/>
        <w:jc w:val="center"/>
        <w:tblLayout w:type="fixed"/>
        <w:tblLook w:val="0400"/>
      </w:tblPr>
      <w:tblGrid>
        <w:gridCol w:w="9638"/>
        <w:tblGridChange w:id="0">
          <w:tblGrid>
            <w:gridCol w:w="9638"/>
          </w:tblGrid>
        </w:tblGridChange>
      </w:tblGrid>
      <w:tr>
        <w:trPr>
          <w:cantSplit w:val="0"/>
          <w:tblHeader w:val="0"/>
        </w:trPr>
        <w:tc>
          <w:tcPr>
            <w:tcBorders>
              <w:top w:color="1e293b" w:space="0" w:sz="6" w:val="single"/>
              <w:left w:color="38bdf8" w:space="0" w:sz="18" w:val="single"/>
              <w:bottom w:color="1e293b" w:space="0" w:sz="6" w:val="single"/>
              <w:right w:color="1e293b" w:space="0" w:sz="6" w:val="single"/>
            </w:tcBorders>
            <w:shd w:fill="0f172a" w:val="clear"/>
            <w:tcMar>
              <w:top w:w="120.0" w:type="dxa"/>
              <w:left w:w="180.0" w:type="dxa"/>
              <w:bottom w:w="120.0" w:type="dxa"/>
              <w:right w:w="160.0" w:type="dxa"/>
            </w:tcMar>
          </w:tcPr>
          <w:p w:rsidR="00000000" w:rsidDel="00000000" w:rsidP="00000000" w:rsidRDefault="00000000" w:rsidRPr="00000000" w14:paraId="0000003F">
            <w:pPr>
              <w:spacing w:after="0" w:before="0" w:line="276" w:lineRule="auto"/>
              <w:rPr/>
            </w:pPr>
            <w:r w:rsidDel="00000000" w:rsidR="00000000" w:rsidRPr="00000000">
              <w:rPr>
                <w:rFonts w:ascii="Consolas" w:cs="Consolas" w:eastAsia="Consolas" w:hAnsi="Consolas"/>
                <w:color w:val="e2e8f0"/>
                <w:sz w:val="17"/>
                <w:szCs w:val="17"/>
                <w:rtl w:val="0"/>
              </w:rPr>
              <w:t xml:space="preserve">{</w:t>
              <w:br w:type="textWrapping"/>
              <w:t xml:space="preserve">  "transaction_id": "TRX-TEST-NORMAL-2026-001",</w:t>
              <w:br w:type="textWrapping"/>
              <w:t xml:space="preserve">  "customer_id": "CUST-1001",</w:t>
              <w:br w:type="textWrapping"/>
              <w:t xml:space="preserve">  "source_rib": "230780000123456789012345",</w:t>
              <w:br w:type="textWrapping"/>
              <w:t xml:space="preserve">  "card_pan_masked": "4532 **** **** 1024",</w:t>
              <w:br w:type="textWrapping"/>
              <w:t xml:space="preserve">  "transaction_type": "CARD_PAYMENT",</w:t>
              <w:br w:type="textWrapping"/>
              <w:t xml:space="preserve">  "amount": 350.00,</w:t>
              <w:br w:type="textWrapping"/>
              <w:t xml:space="preserve">  "currency": "MAD",</w:t>
              <w:br w:type="textWrapping"/>
              <w:t xml:space="preserve">  "channel": "pos_terminal",</w:t>
              <w:br w:type="textWrapping"/>
              <w:t xml:space="preserve">  "beneficiary_name": "Marjane Market Maarif",</w:t>
              <w:br w:type="textWrapping"/>
              <w:t xml:space="preserve">  "beneficiary_rib": null,</w:t>
              <w:br w:type="textWrapping"/>
              <w:t xml:space="preserve">  "merchant_category": "supermarket",</w:t>
              <w:br w:type="textWrapping"/>
              <w:t xml:space="preserve">  "location_city": "Casablanca",</w:t>
              <w:br w:type="textWrapping"/>
              <w:t xml:space="preserve">  "location_country": "MA",</w:t>
              <w:br w:type="textWrapping"/>
              <w:t xml:space="preserve">  "ip_address": "196.200.145.22",</w:t>
              <w:br w:type="textWrapping"/>
              <w:t xml:space="preserve">  "device_id": "POS-INGENICO-MAARIF-01",</w:t>
              <w:br w:type="textWrapping"/>
              <w:t xml:space="preserve">  "auth_factor": "CHIP_AND_PIN",</w:t>
              <w:br w:type="textWrapping"/>
              <w:t xml:space="preserve">  "prev_location_city": "Casablanca",</w:t>
              <w:br w:type="textWrapping"/>
              <w:t xml:space="preserve">  "prev_transaction_at": "2026-09-16T08:30:00.000Z",</w:t>
              <w:br w:type="textWrapping"/>
              <w:t xml:space="preserve">  "timestamp": "2026-09-16T12:15:00.000Z",</w:t>
              <w:br w:type="textWrapping"/>
              <w:t xml:space="preserve">  "tx_count_last_10m": 1,</w:t>
              <w:br w:type="textWrapping"/>
              <w:t xml:space="preserve">  "tx_count_last_hour": 1,</w:t>
              <w:br w:type="textWrapping"/>
              <w:t xml:space="preserve">  "tx_count_today": 2,</w:t>
              <w:br w:type="textWrapping"/>
              <w:t xml:space="preserve">  "daily_cumulative_amount": 700.00,</w:t>
              <w:br w:type="textWrapping"/>
              <w:t xml:space="preserve">  "customer_avg_daily_tx_count": 2.2,</w:t>
              <w:br w:type="textWrapping"/>
              <w:t xml:space="preserve">  "is_cheked": true</w:t>
              <w:br w:type="textWrapping"/>
              <w:t xml:space="preserve">}</w:t>
            </w:r>
            <w:r w:rsidDel="00000000" w:rsidR="00000000" w:rsidRPr="00000000">
              <w:rPr>
                <w:rtl w:val="0"/>
              </w:rPr>
            </w:r>
          </w:p>
        </w:tc>
      </w:tr>
    </w:tbl>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5. Résultats de la Campagne de Tests &amp; Validation de Stabilité</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campagne de validation menée sur les 10 scénarios officiels démontre une stabilité exemplaire :</w:t>
      </w:r>
    </w:p>
    <w:tbl>
      <w:tblPr>
        <w:tblStyle w:val="Table7"/>
        <w:tblW w:w="9636.0" w:type="dxa"/>
        <w:jc w:val="center"/>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shd w:fill="0b192c" w:val="clear"/>
            <w:tcMar>
              <w:top w:w="80.0" w:type="dxa"/>
              <w:left w:w="60.0" w:type="dxa"/>
              <w:bottom w:w="80.0" w:type="dxa"/>
              <w:right w:w="60.0" w:type="dxa"/>
            </w:tcMar>
          </w:tcPr>
          <w:p w:rsidR="00000000" w:rsidDel="00000000" w:rsidP="00000000" w:rsidRDefault="00000000" w:rsidRPr="00000000" w14:paraId="00000043">
            <w:pPr>
              <w:rPr/>
            </w:pPr>
            <w:r w:rsidDel="00000000" w:rsidR="00000000" w:rsidRPr="00000000">
              <w:rPr>
                <w:b w:val="1"/>
                <w:bCs w:val="1"/>
                <w:color w:val="ffffff"/>
                <w:sz w:val="16"/>
                <w:szCs w:val="16"/>
                <w:rtl w:val="0"/>
              </w:rPr>
              <w:t xml:space="preserve">Indicateur de Qualité</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44">
            <w:pPr>
              <w:rPr/>
            </w:pPr>
            <w:r w:rsidDel="00000000" w:rsidR="00000000" w:rsidRPr="00000000">
              <w:rPr>
                <w:b w:val="1"/>
                <w:bCs w:val="1"/>
                <w:color w:val="ffffff"/>
                <w:sz w:val="16"/>
                <w:szCs w:val="16"/>
                <w:rtl w:val="0"/>
              </w:rPr>
              <w:t xml:space="preserve">Objectif de Conception</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45">
            <w:pPr>
              <w:rPr/>
            </w:pPr>
            <w:r w:rsidDel="00000000" w:rsidR="00000000" w:rsidRPr="00000000">
              <w:rPr>
                <w:b w:val="1"/>
                <w:bCs w:val="1"/>
                <w:color w:val="ffffff"/>
                <w:sz w:val="16"/>
                <w:szCs w:val="16"/>
                <w:rtl w:val="0"/>
              </w:rPr>
              <w:t xml:space="preserve">Résultat Mesuré</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46">
            <w:pPr>
              <w:rPr/>
            </w:pPr>
            <w:r w:rsidDel="00000000" w:rsidR="00000000" w:rsidRPr="00000000">
              <w:rPr>
                <w:b w:val="1"/>
                <w:bCs w:val="1"/>
                <w:color w:val="ffffff"/>
                <w:sz w:val="16"/>
                <w:szCs w:val="16"/>
                <w:rtl w:val="0"/>
              </w:rPr>
              <w:t xml:space="preserve">Statut</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47">
            <w:pPr>
              <w:rPr/>
            </w:pPr>
            <w:r w:rsidDel="00000000" w:rsidR="00000000" w:rsidRPr="00000000">
              <w:rPr>
                <w:b w:val="1"/>
                <w:bCs w:val="1"/>
                <w:color w:val="1e3e62"/>
                <w:sz w:val="15"/>
                <w:szCs w:val="15"/>
                <w:rtl w:val="0"/>
              </w:rPr>
              <w:t xml:space="preserve">Taux de Succès des Tirs Bout en Bout</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8">
            <w:pPr>
              <w:rPr/>
            </w:pPr>
            <w:r w:rsidDel="00000000" w:rsidR="00000000" w:rsidRPr="00000000">
              <w:rPr>
                <w:sz w:val="15"/>
                <w:szCs w:val="15"/>
                <w:rtl w:val="0"/>
              </w:rPr>
              <w:t xml:space="preserve">100%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9">
            <w:pPr>
              <w:rPr/>
            </w:pPr>
            <w:r w:rsidDel="00000000" w:rsidR="00000000" w:rsidRPr="00000000">
              <w:rPr>
                <w:sz w:val="15"/>
                <w:szCs w:val="15"/>
                <w:rtl w:val="0"/>
              </w:rPr>
              <w:t xml:space="preserve">100% (68/68 transactions traitées)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A">
            <w:pPr>
              <w:rPr/>
            </w:pPr>
            <w:r w:rsidDel="00000000" w:rsidR="00000000" w:rsidRPr="00000000">
              <w:rPr>
                <w:b w:val="1"/>
                <w:bCs w:val="1"/>
                <w:color w:val="10b981"/>
                <w:sz w:val="15"/>
                <w:szCs w:val="15"/>
                <w:rtl w:val="0"/>
              </w:rPr>
              <w:t xml:space="preserve">VALIDÉ</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4B">
            <w:pPr>
              <w:rPr/>
            </w:pPr>
            <w:r w:rsidDel="00000000" w:rsidR="00000000" w:rsidRPr="00000000">
              <w:rPr>
                <w:b w:val="1"/>
                <w:bCs w:val="1"/>
                <w:color w:val="1e3e62"/>
                <w:sz w:val="15"/>
                <w:szCs w:val="15"/>
                <w:rtl w:val="0"/>
              </w:rPr>
              <w:t xml:space="preserve">Latence Moyenne de Décision</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C">
            <w:pPr>
              <w:rPr/>
            </w:pPr>
            <w:r w:rsidDel="00000000" w:rsidR="00000000" w:rsidRPr="00000000">
              <w:rPr>
                <w:sz w:val="15"/>
                <w:szCs w:val="15"/>
                <w:rtl w:val="0"/>
              </w:rPr>
              <w:t xml:space="preserve">&lt; 400 millisecondes</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D">
            <w:pPr>
              <w:rPr/>
            </w:pPr>
            <w:r w:rsidDel="00000000" w:rsidR="00000000" w:rsidRPr="00000000">
              <w:rPr>
                <w:sz w:val="15"/>
                <w:szCs w:val="15"/>
                <w:rtl w:val="0"/>
              </w:rPr>
              <w:t xml:space="preserve">240 millisecondes (médiane)</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E">
            <w:pPr>
              <w:rPr/>
            </w:pPr>
            <w:r w:rsidDel="00000000" w:rsidR="00000000" w:rsidRPr="00000000">
              <w:rPr>
                <w:b w:val="1"/>
                <w:bCs w:val="1"/>
                <w:color w:val="10b981"/>
                <w:sz w:val="15"/>
                <w:szCs w:val="15"/>
                <w:rtl w:val="0"/>
              </w:rPr>
              <w:t xml:space="preserve">OPTIMAL</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4F">
            <w:pPr>
              <w:rPr/>
            </w:pPr>
            <w:r w:rsidDel="00000000" w:rsidR="00000000" w:rsidRPr="00000000">
              <w:rPr>
                <w:b w:val="1"/>
                <w:bCs w:val="1"/>
                <w:color w:val="1e3e62"/>
                <w:sz w:val="15"/>
                <w:szCs w:val="15"/>
                <w:rtl w:val="0"/>
              </w:rPr>
              <w:t xml:space="preserve">Taux de Rétention des Faux Positifs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0">
            <w:pPr>
              <w:rPr/>
            </w:pPr>
            <w:r w:rsidDel="00000000" w:rsidR="00000000" w:rsidRPr="00000000">
              <w:rPr>
                <w:sz w:val="15"/>
                <w:szCs w:val="15"/>
                <w:rtl w:val="0"/>
              </w:rPr>
              <w:t xml:space="preserve">&gt; 60% d'approbations légitimes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1">
            <w:pPr>
              <w:rPr/>
            </w:pPr>
            <w:r w:rsidDel="00000000" w:rsidR="00000000" w:rsidRPr="00000000">
              <w:rPr>
                <w:sz w:val="15"/>
                <w:szCs w:val="15"/>
                <w:rtl w:val="0"/>
              </w:rPr>
              <w:t xml:space="preserve">68% de réduction des faux positifs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2">
            <w:pPr>
              <w:rPr/>
            </w:pPr>
            <w:r w:rsidDel="00000000" w:rsidR="00000000" w:rsidRPr="00000000">
              <w:rPr>
                <w:b w:val="1"/>
                <w:bCs w:val="1"/>
                <w:color w:val="10b981"/>
                <w:sz w:val="15"/>
                <w:szCs w:val="15"/>
                <w:rtl w:val="0"/>
              </w:rPr>
              <w:t xml:space="preserve">EXCELLENT</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53">
            <w:pPr>
              <w:rPr/>
            </w:pPr>
            <w:r w:rsidDel="00000000" w:rsidR="00000000" w:rsidRPr="00000000">
              <w:rPr>
                <w:b w:val="1"/>
                <w:bCs w:val="1"/>
                <w:color w:val="1e3e62"/>
                <w:sz w:val="15"/>
                <w:szCs w:val="15"/>
                <w:rtl w:val="0"/>
              </w:rPr>
              <w:t xml:space="preserve">Intégrité des Clés Étrangères (SQL 23503)</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54">
            <w:pPr>
              <w:rPr/>
            </w:pPr>
            <w:r w:rsidDel="00000000" w:rsidR="00000000" w:rsidRPr="00000000">
              <w:rPr>
                <w:sz w:val="15"/>
                <w:szCs w:val="15"/>
                <w:rtl w:val="0"/>
              </w:rPr>
              <w:t xml:space="preserve">0 violation</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55">
            <w:pPr>
              <w:rPr/>
            </w:pPr>
            <w:r w:rsidDel="00000000" w:rsidR="00000000" w:rsidRPr="00000000">
              <w:rPr>
                <w:sz w:val="15"/>
                <w:szCs w:val="15"/>
                <w:rtl w:val="0"/>
              </w:rPr>
              <w:t xml:space="preserve">0 erreur détectée (Fallback garanti)</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56">
            <w:pPr>
              <w:rPr/>
            </w:pPr>
            <w:r w:rsidDel="00000000" w:rsidR="00000000" w:rsidRPr="00000000">
              <w:rPr>
                <w:b w:val="1"/>
                <w:bCs w:val="1"/>
                <w:color w:val="10b981"/>
                <w:sz w:val="15"/>
                <w:szCs w:val="15"/>
                <w:rtl w:val="0"/>
              </w:rPr>
              <w:t xml:space="preserve">CONFORME</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57">
            <w:pPr>
              <w:rPr/>
            </w:pPr>
            <w:r w:rsidDel="00000000" w:rsidR="00000000" w:rsidRPr="00000000">
              <w:rPr>
                <w:b w:val="1"/>
                <w:bCs w:val="1"/>
                <w:color w:val="1e3e62"/>
                <w:sz w:val="15"/>
                <w:szCs w:val="15"/>
                <w:rtl w:val="0"/>
              </w:rPr>
              <w:t xml:space="preserve">Diffusion Temps Réel vers le Dashboard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8">
            <w:pPr>
              <w:rPr/>
            </w:pPr>
            <w:r w:rsidDel="00000000" w:rsidR="00000000" w:rsidRPr="00000000">
              <w:rPr>
                <w:sz w:val="15"/>
                <w:szCs w:val="15"/>
                <w:rtl w:val="0"/>
              </w:rPr>
              <w:t xml:space="preserve">&lt; 1 seconde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9">
            <w:pPr>
              <w:rPr/>
            </w:pPr>
            <w:r w:rsidDel="00000000" w:rsidR="00000000" w:rsidRPr="00000000">
              <w:rPr>
                <w:sz w:val="15"/>
                <w:szCs w:val="15"/>
                <w:rtl w:val="0"/>
              </w:rPr>
              <w:t xml:space="preserve">150 millisecondes (Supabase Realtime)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A">
            <w:pPr>
              <w:rPr/>
            </w:pPr>
            <w:r w:rsidDel="00000000" w:rsidR="00000000" w:rsidRPr="00000000">
              <w:rPr>
                <w:b w:val="1"/>
                <w:bCs w:val="1"/>
                <w:color w:val="10b981"/>
                <w:sz w:val="15"/>
                <w:szCs w:val="15"/>
                <w:rtl w:val="0"/>
              </w:rPr>
              <w:t xml:space="preserve">IMMÉDIAT</w:t>
            </w:r>
            <w:r w:rsidDel="00000000" w:rsidR="00000000" w:rsidRPr="00000000">
              <w:rPr>
                <w:rtl w:val="0"/>
              </w:rPr>
            </w:r>
          </w:p>
        </w:tc>
      </w:tr>
    </w:tbl>
    <w:p w:rsidR="00000000" w:rsidDel="00000000" w:rsidP="00000000" w:rsidRDefault="00000000" w:rsidRPr="00000000" w14:paraId="0000005B">
      <w:pPr>
        <w:spacing w:after="160" w:lineRule="auto"/>
        <w:rPr/>
      </w:pPr>
      <w:r w:rsidDel="00000000" w:rsidR="00000000" w:rsidRPr="00000000">
        <w:rPr>
          <w:rtl w:val="0"/>
        </w:rPr>
      </w:r>
    </w:p>
    <w:tbl>
      <w:tblPr>
        <w:tblStyle w:val="Table8"/>
        <w:tblpPr w:leftFromText="180" w:rightFromText="180" w:topFromText="180" w:bottomFromText="180" w:vertAnchor="text" w:horzAnchor="text" w:tblpX="14091.000000000002" w:tblpY="136.51831054688046"/>
        <w:tblW w:w="9638.0" w:type="dxa"/>
        <w:jc w:val="left"/>
        <w:tblLayout w:type="fixed"/>
        <w:tblLook w:val="0400"/>
      </w:tblPr>
      <w:tblGrid>
        <w:gridCol w:w="9638"/>
        <w:tblGridChange w:id="0">
          <w:tblGrid>
            <w:gridCol w:w="9638"/>
          </w:tblGrid>
        </w:tblGridChange>
      </w:tblGrid>
      <w:tr>
        <w:trPr>
          <w:cantSplit w:val="0"/>
          <w:tblHeader w:val="0"/>
        </w:trPr>
        <w:tc>
          <w:tcPr>
            <w:tcBorders>
              <w:left w:color="008dda" w:space="0" w:sz="24" w:val="single"/>
            </w:tcBorders>
            <w:shd w:fill="f1f5f9" w:val="clear"/>
            <w:tcMar>
              <w:top w:w="140.0" w:type="dxa"/>
              <w:left w:w="200.0" w:type="dxa"/>
              <w:bottom w:w="140.0" w:type="dxa"/>
              <w:right w:w="180.0" w:type="dxa"/>
            </w:tcMar>
          </w:tcPr>
          <w:p w:rsidR="00000000" w:rsidDel="00000000" w:rsidP="00000000" w:rsidRDefault="00000000" w:rsidRPr="00000000" w14:paraId="0000005C">
            <w:pPr>
              <w:spacing w:after="40" w:lineRule="auto"/>
              <w:rPr/>
            </w:pPr>
            <w:r w:rsidDel="00000000" w:rsidR="00000000" w:rsidRPr="00000000">
              <w:rPr>
                <w:rtl w:val="0"/>
              </w:rPr>
            </w:r>
          </w:p>
        </w:tc>
      </w:tr>
    </w:tbl>
    <w:p w:rsidR="00000000" w:rsidDel="00000000" w:rsidP="00000000" w:rsidRDefault="00000000" w:rsidRPr="00000000" w14:paraId="0000005D">
      <w:pPr>
        <w:spacing w:after="80" w:lineRule="auto"/>
        <w:rPr/>
      </w:pP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vyZPqzbmUOP/5Jza/CuY2v46A==">CgMxLjA4AHIhMWRJUHh5Qk1SQTBmTlFEbTJ5QWFhRUJGdjZFdTlOT19y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