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Calibri" w:cs="Calibri" w:eastAsia="Calibri" w:hAnsi="Calibri"/>
          <w:b/>
          <w:bCs/>
          <w:color w:val="0E8074"/>
          <w:spacing w:val="40"/>
          <w:sz w:val="28"/>
          <w:szCs w:val="28"/>
        </w:rPr>
        <w:t xml:space="preserve">SUJET 6</w:t>
      </w:r>
    </w:p>
    <w:p>
      <w:pPr>
        <w:spacing w:after="60"/>
        <w:jc w:val="center"/>
      </w:pPr>
      <w:r>
        <w:rPr>
          <w:rFonts w:ascii="Calibri" w:cs="Calibri" w:eastAsia="Calibri" w:hAnsi="Calibri"/>
          <w:b/>
          <w:bCs/>
          <w:color w:val="16215A"/>
          <w:sz w:val="44"/>
          <w:szCs w:val="44"/>
        </w:rPr>
        <w:t xml:space="preserve">Détection d'opérations bancaires inhabituelles</w:t>
      </w:r>
    </w:p>
    <w:p>
      <w:pPr>
        <w:spacing w:after="500"/>
        <w:jc w:val="center"/>
      </w:pPr>
      <w:r>
        <w:rPr>
          <w:rFonts w:ascii="Calibri" w:cs="Calibri" w:eastAsia="Calibri" w:hAnsi="Calibri"/>
          <w:color w:val="5B6B8C"/>
          <w:sz w:val="30"/>
          <w:szCs w:val="30"/>
        </w:rPr>
        <w:t xml:space="preserve">et sécurisation temps réel des transactions bancaires au Maroc</w:t>
      </w:r>
    </w:p>
    <w:p>
      <w:pPr>
        <w:pBdr>
          <w:top w:val="single" w:color="16215A" w:sz="6" w:space="8"/>
          <w:bottom w:val="single" w:color="16215A" w:sz="6" w:space="8"/>
        </w:pBdr>
        <w:spacing w:after="100"/>
        <w:jc w:val="center"/>
      </w:pPr>
      <w:r>
        <w:rPr>
          <w:rFonts w:ascii="Calibri" w:cs="Calibri" w:eastAsia="Calibri" w:hAnsi="Calibri"/>
          <w:b/>
          <w:bCs/>
          <w:color w:val="16215A"/>
          <w:sz w:val="26"/>
          <w:szCs w:val="26"/>
        </w:rPr>
        <w:t xml:space="preserve">Cahier des charges fonctionnel et technique</w:t>
      </w:r>
    </w:p>
    <w:p>
      <w:pPr>
        <w:spacing w:after="40" w:before="400"/>
        <w:jc w:val="center"/>
      </w:pPr>
      <w:r>
        <w:rPr>
          <w:rFonts w:ascii="Calibri" w:cs="Calibri" w:eastAsia="Calibri" w:hAnsi="Calibri"/>
          <w:b/>
          <w:bCs/>
          <w:color w:val="2563EB"/>
          <w:sz w:val="24"/>
          <w:szCs w:val="24"/>
        </w:rPr>
        <w:t xml:space="preserve">Produit  BankShield AI</w:t>
      </w:r>
    </w:p>
    <w:p>
      <w:pPr>
        <w:spacing w:after="40"/>
        <w:jc w:val="center"/>
      </w:pPr>
      <w:r>
        <w:rPr>
          <w:rFonts w:ascii="Calibri" w:cs="Calibri" w:eastAsia="Calibri" w:hAnsi="Calibri"/>
          <w:color w:val="5B6B8C"/>
          <w:sz w:val="20"/>
          <w:szCs w:val="20"/>
        </w:rPr>
        <w:t xml:space="preserve">Contexte  Projet de fin de Tronc commun — Smart Automation Challenge</w:t>
      </w:r>
    </w:p>
    <w:p>
      <w:pPr>
        <w:spacing w:after="40"/>
        <w:jc w:val="center"/>
      </w:pPr>
      <w:r>
        <w:rPr>
          <w:rFonts w:ascii="Calibri" w:cs="Calibri" w:eastAsia="Calibri" w:hAnsi="Calibri"/>
          <w:color w:val="5B6B8C"/>
          <w:sz w:val="20"/>
          <w:szCs w:val="20"/>
        </w:rPr>
        <w:t xml:space="preserve">Périmètre  Scoring • Diagnostic IA • Arbitrage • Supervision • Réévaluation • Dashboard</w:t>
      </w:r>
    </w:p>
    <w:p>
      <w:pPr>
        <w:spacing w:after="600"/>
        <w:jc w:val="center"/>
      </w:pPr>
      <w:r>
        <w:rPr>
          <w:rFonts w:ascii="Calibri" w:cs="Calibri" w:eastAsia="Calibri" w:hAnsi="Calibri"/>
          <w:color w:val="5B6B8C"/>
          <w:sz w:val="20"/>
          <w:szCs w:val="20"/>
        </w:rPr>
        <w:t xml:space="preserve">Version  Version cible du prototype — Septembre 2026</w:t>
      </w:r>
    </w:p>
    <w:p>
      <w:pPr>
        <w:spacing w:before="800"/>
        <w:jc w:val="center"/>
      </w:pPr>
      <w:r>
        <w:rPr>
          <w:rFonts w:ascii="Calibri" w:cs="Calibri" w:eastAsia="Calibri" w:hAnsi="Calibri"/>
          <w:i/>
          <w:iCs/>
          <w:color w:val="16215A"/>
          <w:sz w:val="22"/>
          <w:szCs w:val="22"/>
        </w:rPr>
        <w:t xml:space="preserve">Principe directeur : détecter les opérations à risque en temps réel, expliquer les facteurs observés et aider l'analyste à décider plus vite, sans jamais automatiser la qualification définitive de fraude.</w:t>
      </w:r>
    </w:p>
    <w:p>
      <w:r>
        <w:br w:type="page"/>
      </w:r>
    </w:p>
    <w:p>
      <w:pPr>
        <w:pStyle w:val="Heading1"/>
        <w:pBdr>
          <w:bottom w:val="single" w:color="16215A" w:sz="8" w:space="4"/>
        </w:pBdr>
        <w:spacing w:after="200" w:before="400"/>
      </w:pPr>
      <w:r>
        <w:rPr>
          <w:rFonts w:ascii="Calibri" w:cs="Calibri" w:eastAsia="Calibri" w:hAnsi="Calibri"/>
          <w:b/>
          <w:bCs/>
          <w:color w:val="16215A"/>
          <w:sz w:val="30"/>
          <w:szCs w:val="30"/>
        </w:rPr>
        <w:t xml:space="preserve">Sommaire</w:t>
      </w:r>
    </w:p>
    <w:p>
      <w:pPr>
        <w:spacing w:after="90"/>
      </w:pPr>
      <w:r>
        <w:rPr>
          <w:rFonts w:ascii="Calibri" w:cs="Calibri" w:eastAsia="Calibri" w:hAnsi="Calibri"/>
          <w:sz w:val="22"/>
          <w:szCs w:val="22"/>
        </w:rPr>
        <w:t xml:space="preserve">1. Contexte</w:t>
      </w:r>
    </w:p>
    <w:p>
      <w:pPr>
        <w:spacing w:after="90"/>
      </w:pPr>
      <w:r>
        <w:rPr>
          <w:rFonts w:ascii="Calibri" w:cs="Calibri" w:eastAsia="Calibri" w:hAnsi="Calibri"/>
          <w:sz w:val="22"/>
          <w:szCs w:val="22"/>
        </w:rPr>
        <w:t xml:space="preserve">2. Objectif général</w:t>
      </w:r>
    </w:p>
    <w:p>
      <w:pPr>
        <w:spacing w:after="90"/>
      </w:pPr>
      <w:r>
        <w:rPr>
          <w:rFonts w:ascii="Calibri" w:cs="Calibri" w:eastAsia="Calibri" w:hAnsi="Calibri"/>
          <w:sz w:val="22"/>
          <w:szCs w:val="22"/>
        </w:rPr>
        <w:t xml:space="preserve">3. Problème mesurable</w:t>
      </w:r>
    </w:p>
    <w:p>
      <w:pPr>
        <w:spacing w:after="90"/>
      </w:pPr>
      <w:r>
        <w:rPr>
          <w:rFonts w:ascii="Calibri" w:cs="Calibri" w:eastAsia="Calibri" w:hAnsi="Calibri"/>
          <w:sz w:val="22"/>
          <w:szCs w:val="22"/>
        </w:rPr>
        <w:t xml:space="preserve">4. Cadrage méthodologique — QQOQCCP</w:t>
      </w:r>
    </w:p>
    <w:p>
      <w:pPr>
        <w:spacing w:after="90"/>
      </w:pPr>
      <w:r>
        <w:rPr>
          <w:rFonts w:ascii="Calibri" w:cs="Calibri" w:eastAsia="Calibri" w:hAnsi="Calibri"/>
          <w:sz w:val="22"/>
          <w:szCs w:val="22"/>
        </w:rPr>
        <w:t xml:space="preserve">5. Cadrage méthodologique — Arbre des 5 Pourquoi</w:t>
      </w:r>
    </w:p>
    <w:p>
      <w:pPr>
        <w:spacing w:after="90"/>
      </w:pPr>
      <w:r>
        <w:rPr>
          <w:rFonts w:ascii="Calibri" w:cs="Calibri" w:eastAsia="Calibri" w:hAnsi="Calibri"/>
          <w:sz w:val="22"/>
          <w:szCs w:val="22"/>
        </w:rPr>
        <w:t xml:space="preserve">6. Périmètre fonctionnel</w:t>
      </w:r>
    </w:p>
    <w:p>
      <w:pPr>
        <w:spacing w:after="90"/>
      </w:pPr>
      <w:r>
        <w:rPr>
          <w:rFonts w:ascii="Calibri" w:cs="Calibri" w:eastAsia="Calibri" w:hAnsi="Calibri"/>
          <w:sz w:val="22"/>
          <w:szCs w:val="22"/>
        </w:rPr>
        <w:t xml:space="preserve">7. Acteurs</w:t>
      </w:r>
    </w:p>
    <w:p>
      <w:pPr>
        <w:spacing w:after="90"/>
      </w:pPr>
      <w:r>
        <w:rPr>
          <w:rFonts w:ascii="Calibri" w:cs="Calibri" w:eastAsia="Calibri" w:hAnsi="Calibri"/>
          <w:sz w:val="22"/>
          <w:szCs w:val="22"/>
        </w:rPr>
        <w:t xml:space="preserve">8. Données exploitées</w:t>
      </w:r>
    </w:p>
    <w:p>
      <w:pPr>
        <w:spacing w:after="90"/>
      </w:pPr>
      <w:r>
        <w:rPr>
          <w:rFonts w:ascii="Calibri" w:cs="Calibri" w:eastAsia="Calibri" w:hAnsi="Calibri"/>
          <w:sz w:val="22"/>
          <w:szCs w:val="22"/>
        </w:rPr>
        <w:t xml:space="preserve">9. Processus BPMN — As-Is</w:t>
      </w:r>
    </w:p>
    <w:p>
      <w:pPr>
        <w:spacing w:after="90"/>
      </w:pPr>
      <w:r>
        <w:rPr>
          <w:rFonts w:ascii="Calibri" w:cs="Calibri" w:eastAsia="Calibri" w:hAnsi="Calibri"/>
          <w:sz w:val="22"/>
          <w:szCs w:val="22"/>
        </w:rPr>
        <w:t xml:space="preserve">10. Processus BPMN — To-Be</w:t>
      </w:r>
    </w:p>
    <w:p>
      <w:pPr>
        <w:spacing w:after="90"/>
      </w:pPr>
      <w:r>
        <w:rPr>
          <w:rFonts w:ascii="Calibri" w:cs="Calibri" w:eastAsia="Calibri" w:hAnsi="Calibri"/>
          <w:sz w:val="22"/>
          <w:szCs w:val="22"/>
        </w:rPr>
        <w:t xml:space="preserve">11. Architecture technique</w:t>
      </w:r>
    </w:p>
    <w:p>
      <w:pPr>
        <w:spacing w:after="90"/>
      </w:pPr>
      <w:r>
        <w:rPr>
          <w:rFonts w:ascii="Calibri" w:cs="Calibri" w:eastAsia="Calibri" w:hAnsi="Calibri"/>
          <w:sz w:val="22"/>
          <w:szCs w:val="22"/>
        </w:rPr>
        <w:t xml:space="preserve">12. Workflow 1 — Scoring et évaluation temps réel</w:t>
      </w:r>
    </w:p>
    <w:p>
      <w:pPr>
        <w:spacing w:after="90"/>
      </w:pPr>
      <w:r>
        <w:rPr>
          <w:rFonts w:ascii="Calibri" w:cs="Calibri" w:eastAsia="Calibri" w:hAnsi="Calibri"/>
          <w:sz w:val="22"/>
          <w:szCs w:val="22"/>
        </w:rPr>
        <w:t xml:space="preserve">13. Workflow 2 — Agent IA (diagnostic explicatif)</w:t>
      </w:r>
    </w:p>
    <w:p>
      <w:pPr>
        <w:spacing w:after="90"/>
      </w:pPr>
      <w:r>
        <w:rPr>
          <w:rFonts w:ascii="Calibri" w:cs="Calibri" w:eastAsia="Calibri" w:hAnsi="Calibri"/>
          <w:sz w:val="22"/>
          <w:szCs w:val="22"/>
        </w:rPr>
        <w:t xml:space="preserve">14. Workflow 3 — Arbitrage, décision et suivi</w:t>
      </w:r>
    </w:p>
    <w:p>
      <w:pPr>
        <w:spacing w:after="90"/>
      </w:pPr>
      <w:r>
        <w:rPr>
          <w:rFonts w:ascii="Calibri" w:cs="Calibri" w:eastAsia="Calibri" w:hAnsi="Calibri"/>
          <w:sz w:val="22"/>
          <w:szCs w:val="22"/>
        </w:rPr>
        <w:t xml:space="preserve">15. Application web et dashboard SOC</w:t>
      </w:r>
    </w:p>
    <w:p>
      <w:pPr>
        <w:spacing w:after="90"/>
      </w:pPr>
      <w:r>
        <w:rPr>
          <w:rFonts w:ascii="Calibri" w:cs="Calibri" w:eastAsia="Calibri" w:hAnsi="Calibri"/>
          <w:sz w:val="22"/>
          <w:szCs w:val="22"/>
        </w:rPr>
        <w:t xml:space="preserve">16. Modèle de données fonctionnel</w:t>
      </w:r>
    </w:p>
    <w:p>
      <w:pPr>
        <w:spacing w:after="90"/>
      </w:pPr>
      <w:r>
        <w:rPr>
          <w:rFonts w:ascii="Calibri" w:cs="Calibri" w:eastAsia="Calibri" w:hAnsi="Calibri"/>
          <w:sz w:val="22"/>
          <w:szCs w:val="22"/>
        </w:rPr>
        <w:t xml:space="preserve">17. Sécurité et garde-fous IA</w:t>
      </w:r>
    </w:p>
    <w:p>
      <w:pPr>
        <w:spacing w:after="90"/>
      </w:pPr>
      <w:r>
        <w:rPr>
          <w:rFonts w:ascii="Calibri" w:cs="Calibri" w:eastAsia="Calibri" w:hAnsi="Calibri"/>
          <w:sz w:val="22"/>
          <w:szCs w:val="22"/>
        </w:rPr>
        <w:t xml:space="preserve">18. Indicateurs de pilotage</w:t>
      </w:r>
    </w:p>
    <w:p>
      <w:pPr>
        <w:spacing w:after="90"/>
      </w:pPr>
      <w:r>
        <w:rPr>
          <w:rFonts w:ascii="Calibri" w:cs="Calibri" w:eastAsia="Calibri" w:hAnsi="Calibri"/>
          <w:sz w:val="22"/>
          <w:szCs w:val="22"/>
        </w:rPr>
        <w:t xml:space="preserve">19. Critères d'acceptation</w:t>
      </w:r>
    </w:p>
    <w:p>
      <w:pPr>
        <w:spacing w:after="90"/>
      </w:pPr>
      <w:r>
        <w:rPr>
          <w:rFonts w:ascii="Calibri" w:cs="Calibri" w:eastAsia="Calibri" w:hAnsi="Calibri"/>
          <w:sz w:val="22"/>
          <w:szCs w:val="22"/>
        </w:rPr>
        <w:t xml:space="preserve">20. Scénario de démonstration</w:t>
      </w:r>
    </w:p>
    <w:p>
      <w:pPr>
        <w:spacing w:after="90"/>
      </w:pPr>
      <w:r>
        <w:rPr>
          <w:rFonts w:ascii="Calibri" w:cs="Calibri" w:eastAsia="Calibri" w:hAnsi="Calibri"/>
          <w:sz w:val="22"/>
          <w:szCs w:val="22"/>
        </w:rPr>
        <w:t xml:space="preserve">21. Limites du prototype</w:t>
      </w:r>
    </w:p>
    <w:p>
      <w:pPr>
        <w:spacing w:after="90"/>
      </w:pPr>
      <w:r>
        <w:rPr>
          <w:rFonts w:ascii="Calibri" w:cs="Calibri" w:eastAsia="Calibri" w:hAnsi="Calibri"/>
          <w:sz w:val="22"/>
          <w:szCs w:val="22"/>
        </w:rPr>
        <w:t xml:space="preserve">22. Livrable cible</w:t>
      </w:r>
    </w:p>
    <w:p>
      <w:r>
        <w:br w:type="page"/>
      </w:r>
    </w:p>
    <w:p>
      <w:pPr>
        <w:pStyle w:val="Heading1"/>
        <w:pBdr>
          <w:bottom w:val="single" w:color="16215A" w:sz="8" w:space="4"/>
        </w:pBdr>
        <w:spacing w:after="200" w:before="400"/>
      </w:pPr>
      <w:r>
        <w:rPr>
          <w:rFonts w:ascii="Calibri" w:cs="Calibri" w:eastAsia="Calibri" w:hAnsi="Calibri"/>
          <w:b/>
          <w:bCs/>
          <w:color w:val="16215A"/>
          <w:sz w:val="30"/>
          <w:szCs w:val="30"/>
        </w:rPr>
        <w:t xml:space="preserve">1. Contexte</w:t>
      </w:r>
    </w:p>
    <w:p>
      <w:pPr>
        <w:spacing w:after="160" w:line="276"/>
      </w:pPr>
      <w:r>
        <w:rPr>
          <w:rFonts w:ascii="Calibri" w:cs="Calibri" w:eastAsia="Calibri" w:hAnsi="Calibri"/>
          <w:sz w:val="22"/>
          <w:szCs w:val="22"/>
        </w:rPr>
        <w:t xml:space="preserve">Le projet répond au cas d'usage « Sécurisation temps réel des transactions bancaires au Maroc », dans un contexte de digitalisation accélérée du secteur financier, portée notamment par Bank Al-Maghrib (BAM).</w:t>
      </w:r>
    </w:p>
    <w:p>
      <w:pPr>
        <w:spacing w:after="160" w:line="276"/>
      </w:pPr>
      <w:r>
        <w:rPr>
          <w:rFonts w:ascii="Calibri" w:cs="Calibri" w:eastAsia="Calibri" w:hAnsi="Calibri"/>
          <w:sz w:val="22"/>
          <w:szCs w:val="22"/>
        </w:rPr>
        <w:t xml:space="preserve">Le besoin initial est d'intercepter et d'évaluer chaque transaction bancaire — paiement TPE, paiement web, virement, retrait — au moment même où elle transite par le switch interbancaire (CMI), afin de rendre visibles les opérations nécessitant une vérification, sans ralentir le parcours des clients légitimes.</w:t>
      </w:r>
    </w:p>
    <w:p>
      <w:pPr>
        <w:spacing w:after="160" w:line="276"/>
      </w:pPr>
      <w:r>
        <w:rPr>
          <w:rFonts w:ascii="Calibri" w:cs="Calibri" w:eastAsia="Calibri" w:hAnsi="Calibri"/>
          <w:sz w:val="22"/>
          <w:szCs w:val="22"/>
        </w:rPr>
        <w:t xml:space="preserve">Le système ne doit ni bloquer une transaction sur simple soupçon sans recours, ni qualifier une fraude de façon définitive sans intervention humaine. Le prototype cible les canaux carte, web et virement, avec un jeu de données de démonstration représentatif des typologies de fraude courantes (vélocité anormale, voyage impossible, changement de canal, dépassement de plafond).</w:t>
      </w:r>
    </w:p>
    <w:p>
      <w:pPr>
        <w:spacing w:after="160" w:line="276"/>
      </w:pPr>
      <w:r>
        <w:rPr>
          <w:rFonts w:ascii="Calibri" w:cs="Calibri" w:eastAsia="Calibri" w:hAnsi="Calibri"/>
          <w:sz w:val="22"/>
          <w:szCs w:val="22"/>
        </w:rPr>
        <w:t xml:space="preserve">Le système développé est nommé BankShield AI.</w:t>
      </w:r>
    </w:p>
    <w:p>
      <w:pPr>
        <w:pStyle w:val="Heading1"/>
        <w:pBdr>
          <w:bottom w:val="single" w:color="16215A" w:sz="8" w:space="4"/>
        </w:pBdr>
        <w:spacing w:after="200" w:before="400"/>
      </w:pPr>
      <w:r>
        <w:rPr>
          <w:rFonts w:ascii="Calibri" w:cs="Calibri" w:eastAsia="Calibri" w:hAnsi="Calibri"/>
          <w:b/>
          <w:bCs/>
          <w:color w:val="16215A"/>
          <w:sz w:val="30"/>
          <w:szCs w:val="30"/>
        </w:rPr>
        <w:t xml:space="preserve">2. Objectif général</w:t>
      </w:r>
    </w:p>
    <w:p>
      <w:pPr>
        <w:spacing w:after="160" w:line="276"/>
      </w:pPr>
      <w:r>
        <w:rPr>
          <w:rFonts w:ascii="Calibri" w:cs="Calibri" w:eastAsia="Calibri" w:hAnsi="Calibri"/>
          <w:sz w:val="22"/>
          <w:szCs w:val="22"/>
        </w:rPr>
        <w:t xml:space="preserve">BankShield AI doit fournir une chaîne complète d'aide à la décision anti-fraude :</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Transaction émise (TPE / Web / Virement)</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Ingestion via webhook (Fusion AI)</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Calcul des indicateurs de risque</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Application des 12 règles déterministes</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Score de risque (0–100)</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Classification LOW / MEDIUM / HIGH / CRITICAL</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Décision instantanée : Approuver / Challenge 2FA / Bloquer</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Diagnostic IA explicatif (si score ≥ 66)</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Alerte dispatchée (Slack / Telegram)</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Arbitrage humain sur le dashboard SOC</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Réévaluation et mise à jour de l'historique client</w:t>
      </w:r>
    </w:p>
    <w:p>
      <w:pPr>
        <w:spacing w:after="60"/>
        <w:ind w:left="200"/>
      </w:pPr>
      <w:r>
        <w:rPr>
          <w:rFonts w:ascii="Calibri" w:cs="Calibri" w:eastAsia="Calibri" w:hAnsi="Calibri"/>
          <w:color w:val="5B6B8C"/>
          <w:sz w:val="22"/>
          <w:szCs w:val="22"/>
        </w:rPr>
        <w:t xml:space="preserve">↓</w:t>
      </w:r>
    </w:p>
    <w:p>
      <w:pPr>
        <w:spacing w:after="160" w:line="276"/>
      </w:pPr>
      <w:r>
        <w:rPr>
          <w:rFonts w:ascii="Calibri" w:cs="Calibri" w:eastAsia="Calibri" w:hAnsi="Calibri"/>
          <w:sz w:val="22"/>
          <w:szCs w:val="22"/>
        </w:rPr>
        <w:t xml:space="preserve">L'IA intervient comme outil d'interception et d'aide à la décision. Elle ne qualifie jamais une transaction de « fraude confirmée » de façon irréversible : seule la confirmation d'un analyste sécurité fait foi. La responsabilité de la qualification finale et de toute action disciplinaire ou de recouvrement reste entièrement à la charge de la banque émettrice et de son équipe conformité.</w:t>
      </w:r>
    </w:p>
    <w:p>
      <w:pPr>
        <w:pStyle w:val="Heading1"/>
        <w:pBdr>
          <w:bottom w:val="single" w:color="16215A" w:sz="8" w:space="4"/>
        </w:pBdr>
        <w:spacing w:after="200" w:before="400"/>
      </w:pPr>
      <w:r>
        <w:rPr>
          <w:rFonts w:ascii="Calibri" w:cs="Calibri" w:eastAsia="Calibri" w:hAnsi="Calibri"/>
          <w:b/>
          <w:bCs/>
          <w:color w:val="16215A"/>
          <w:sz w:val="30"/>
          <w:szCs w:val="30"/>
        </w:rPr>
        <w:t xml:space="preserve">3. Problème mesurable</w:t>
      </w:r>
    </w:p>
    <w:p>
      <w:pPr>
        <w:spacing w:after="160" w:line="276"/>
      </w:pPr>
      <w:r>
        <w:rPr>
          <w:rFonts w:ascii="Calibri" w:cs="Calibri" w:eastAsia="Calibri" w:hAnsi="Calibri"/>
          <w:sz w:val="22"/>
          <w:szCs w:val="22"/>
        </w:rPr>
        <w:t xml:space="preserve">Le diagnostic s'appuie sur quatre constats chiffrés qui justifient à eux seuls le besoin d'une refonte du dispositif anti-fraude :</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900"/>
      </w:tblGrid>
      <w:tr>
        <w:trPr>
          <w:tblHeader/>
        </w:trPr>
        <w:tc>
          <w:tcPr>
            <w:tcW w:type="dxa" w:w="32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Indicateur</w:t>
            </w:r>
          </w:p>
        </w:tc>
        <w:tc>
          <w:tcPr>
            <w:tcW w:type="dxa" w:w="31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Valeur actuelle</w:t>
            </w:r>
          </w:p>
        </w:tc>
        <w:tc>
          <w:tcPr>
            <w:tcW w:type="dxa" w:w="39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Source / nature du constat</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Volume de transactions</w:t>
            </w:r>
          </w:p>
        </w:tc>
        <w:tc>
          <w:tcPr>
            <w:tcW w:type="dxa" w:w="31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150 M+ / an, +30 % de croissance annuelle</w:t>
            </w:r>
          </w:p>
        </w:tc>
        <w:tc>
          <w:tcPr>
            <w:tcW w:type="dxa" w:w="39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Paiements carte et e-commerce sur le réseau CMI</w:t>
            </w:r>
          </w:p>
        </w:tc>
      </w:tr>
      <w:tr>
        <w:tc>
          <w:tcPr>
            <w:tcW w:type="dxa" w:w="3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Taux de faux positifs</w:t>
            </w:r>
          </w:p>
        </w:tc>
        <w:tc>
          <w:tcPr>
            <w:tcW w:type="dxa" w:w="31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85 % à 90 %</w:t>
            </w:r>
          </w:p>
        </w:tc>
        <w:tc>
          <w:tcPr>
            <w:tcW w:type="dxa" w:w="39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Règles statiques à seuils fixes, sans contextualisation</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Délai de traitement</w:t>
            </w:r>
          </w:p>
        </w:tc>
        <w:tc>
          <w:tcPr>
            <w:tcW w:type="dxa" w:w="31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24 à 48 heures</w:t>
            </w:r>
          </w:p>
        </w:tc>
        <w:tc>
          <w:tcPr>
            <w:tcW w:type="dxa" w:w="39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Audit par lots (batch nocturne) + enquêtes manuelles</w:t>
            </w:r>
          </w:p>
        </w:tc>
      </w:tr>
      <w:tr>
        <w:tc>
          <w:tcPr>
            <w:tcW w:type="dxa" w:w="3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Coût du faux refus</w:t>
            </w:r>
          </w:p>
        </w:tc>
        <w:tc>
          <w:tcPr>
            <w:tcW w:type="dxa" w:w="31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13x le montant de la fraude réelle évitée</w:t>
            </w:r>
          </w:p>
        </w:tc>
        <w:tc>
          <w:tcPr>
            <w:tcW w:type="dxa" w:w="39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Churn client généré par un blocage injustifié</w:t>
            </w:r>
          </w:p>
        </w:tc>
      </w:tr>
    </w:tbl>
    <w:p>
      <w:pPr>
        <w:spacing w:after="240"/>
      </w:pPr>
      <w:r>
        <w:rPr>
          <w:rFonts w:ascii="Calibri" w:cs="Calibri" w:eastAsia="Calibri" w:hAnsi="Calibri"/>
          <w:i/>
          <w:iCs/>
          <w:color w:val="5B6B8C"/>
          <w:sz w:val="20"/>
          <w:szCs w:val="20"/>
        </w:rPr>
        <w:t xml:space="preserve">Ces quatre chiffres constituent la ligne de base (baseline) par rapport à laquelle l'impact du prototype est mesuré en section 18.</w:t>
      </w:r>
    </w:p>
    <w:p>
      <w:pPr>
        <w:spacing w:after="160" w:line="276"/>
      </w:pPr>
      <w:r>
        <w:rPr>
          <w:rFonts w:ascii="Calibri" w:cs="Calibri" w:eastAsia="Calibri" w:hAnsi="Calibri"/>
          <w:sz w:val="22"/>
          <w:szCs w:val="22"/>
        </w:rPr>
        <w:t xml:space="preserve">Formulation du problème mesurable : réduire le délai de détection d'une transaction à risque de 24-48 heures à moins de 400 millisecondes, et réduire le taux de faux positifs de 85-90 % à moins de 15 %, sans dégrader l'expérience des clients légitimes.</w:t>
      </w:r>
    </w:p>
    <w:p>
      <w:pPr>
        <w:pStyle w:val="Heading1"/>
        <w:pBdr>
          <w:bottom w:val="single" w:color="16215A" w:sz="8" w:space="4"/>
        </w:pBdr>
        <w:spacing w:after="200" w:before="400"/>
      </w:pPr>
      <w:r>
        <w:rPr>
          <w:rFonts w:ascii="Calibri" w:cs="Calibri" w:eastAsia="Calibri" w:hAnsi="Calibri"/>
          <w:b/>
          <w:bCs/>
          <w:color w:val="16215A"/>
          <w:sz w:val="30"/>
          <w:szCs w:val="30"/>
        </w:rPr>
        <w:t xml:space="preserve">4. Cadrage méthodologique — QQOQCCP</w:t>
      </w:r>
    </w:p>
    <w:p>
      <w:pPr>
        <w:spacing w:after="160" w:line="276"/>
      </w:pPr>
      <w:r>
        <w:rPr>
          <w:rFonts w:ascii="Calibri" w:cs="Calibri" w:eastAsia="Calibri" w:hAnsi="Calibri"/>
          <w:sz w:val="22"/>
          <w:szCs w:val="22"/>
        </w:rPr>
        <w:t xml:space="preserve">Avant toute décision d'architecture, le problème a été cadré à l'aide de la matrice QQOQCCP, afin de s'assurer que la solution technique répond à un besoin métier précisément délimité.</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tblHeader/>
        </w:trPr>
        <w:tc>
          <w:tcPr>
            <w:tcW w:type="dxa" w:w="20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Question</w:t>
            </w:r>
          </w:p>
        </w:tc>
        <w:tc>
          <w:tcPr>
            <w:tcW w:type="dxa" w:w="82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Réponse</w:t>
            </w:r>
          </w:p>
        </w:tc>
      </w:tr>
      <w:tr>
        <w:tc>
          <w:tcPr>
            <w:tcW w:type="dxa" w:w="2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Qui ?</w:t>
            </w:r>
          </w:p>
        </w:tc>
        <w:tc>
          <w:tcPr>
            <w:tcW w:type="dxa" w:w="8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Les porteurs de carte et clients bancaires ; les analystes sécurité / SOC ; les banques émettrices (Attijariwafa, BCP, CIH, BMCE...) ; le régulateur (Bank Al-Maghrib).</w:t>
            </w:r>
          </w:p>
        </w:tc>
      </w:tr>
      <w:tr>
        <w:tc>
          <w:tcPr>
            <w:tcW w:type="dxa" w:w="20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Quoi ?</w:t>
            </w:r>
          </w:p>
        </w:tc>
        <w:tc>
          <w:tcPr>
            <w:tcW w:type="dxa" w:w="8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La détection et l'interception, en temps réel, des opérations bancaires inhabituelles sur les canaux carte, web et virement.</w:t>
            </w:r>
          </w:p>
        </w:tc>
      </w:tr>
      <w:tr>
        <w:tc>
          <w:tcPr>
            <w:tcW w:type="dxa" w:w="2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Où ?</w:t>
            </w:r>
          </w:p>
        </w:tc>
        <w:tc>
          <w:tcPr>
            <w:tcW w:type="dxa" w:w="8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Sur le flux transactionnel, au niveau du switch interbancaire CMI, avant que la transaction n'atteigne le Core Banking.</w:t>
            </w:r>
          </w:p>
        </w:tc>
      </w:tr>
      <w:tr>
        <w:tc>
          <w:tcPr>
            <w:tcW w:type="dxa" w:w="20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Quand ?</w:t>
            </w:r>
          </w:p>
        </w:tc>
        <w:tc>
          <w:tcPr>
            <w:tcW w:type="dxa" w:w="8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 continu, 24 heures sur 24 et 7 jours sur 7, avec une vigilance renforcée sur les créneaux nocturnes et les virements instantanés.</w:t>
            </w:r>
          </w:p>
        </w:tc>
      </w:tr>
      <w:tr>
        <w:tc>
          <w:tcPr>
            <w:tcW w:type="dxa" w:w="2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Comment ?</w:t>
            </w:r>
          </w:p>
        </w:tc>
        <w:tc>
          <w:tcPr>
            <w:tcW w:type="dxa" w:w="8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Par un scoring déterministe à 12 règles, complété par un diagnostic explicatif généré par IA, et validé par un arbitrage humain.</w:t>
            </w:r>
          </w:p>
        </w:tc>
      </w:tr>
      <w:tr>
        <w:tc>
          <w:tcPr>
            <w:tcW w:type="dxa" w:w="20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Combien ?</w:t>
            </w:r>
          </w:p>
        </w:tc>
        <w:tc>
          <w:tcPr>
            <w:tcW w:type="dxa" w:w="8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Volumétrie de démonstration ciblée sur un échantillon de transactions test ; objectif de latence inférieur à 400 millisecondes par évaluation.</w:t>
            </w:r>
          </w:p>
        </w:tc>
      </w:tr>
      <w:tr>
        <w:tc>
          <w:tcPr>
            <w:tcW w:type="dxa" w:w="2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Pourquoi ?</w:t>
            </w:r>
          </w:p>
        </w:tc>
        <w:tc>
          <w:tcPr>
            <w:tcW w:type="dxa" w:w="8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Pour ramener le délai de détection de 24-48h à moins d'une seconde, et le taux de faux positifs de 85-90 % à moins de 15 %.</w:t>
            </w:r>
          </w:p>
        </w:tc>
      </w:tr>
    </w:tbl>
    <w:p>
      <w:pPr>
        <w:pStyle w:val="Heading1"/>
        <w:pBdr>
          <w:bottom w:val="single" w:color="16215A" w:sz="8" w:space="4"/>
        </w:pBdr>
        <w:spacing w:after="200" w:before="400"/>
      </w:pPr>
      <w:r>
        <w:rPr>
          <w:rFonts w:ascii="Calibri" w:cs="Calibri" w:eastAsia="Calibri" w:hAnsi="Calibri"/>
          <w:b/>
          <w:bCs/>
          <w:color w:val="16215A"/>
          <w:sz w:val="30"/>
          <w:szCs w:val="30"/>
        </w:rPr>
        <w:t xml:space="preserve">5. Cadrage méthodologique — Arbre des 5 Pourquoi</w:t>
      </w:r>
    </w:p>
    <w:p>
      <w:pPr>
        <w:spacing w:after="160" w:line="276"/>
      </w:pPr>
      <w:r>
        <w:rPr>
          <w:rFonts w:ascii="Calibri" w:cs="Calibri" w:eastAsia="Calibri" w:hAnsi="Calibri"/>
          <w:sz w:val="22"/>
          <w:szCs w:val="22"/>
        </w:rPr>
        <w:t xml:space="preserve">L'arbre des 5 Pourquoi permet de remonter du symptôme observé à la cause racine du dysfonctionnement, plutôt que de traiter uniquement les effets visibles.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5500"/>
      </w:tblGrid>
      <w:tr>
        <w:trPr>
          <w:tblHeader/>
        </w:trPr>
        <w:tc>
          <w:tcPr>
            <w:tcW w:type="dxa" w:w="5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42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Pourquoi</w:t>
            </w:r>
          </w:p>
        </w:tc>
        <w:tc>
          <w:tcPr>
            <w:tcW w:type="dxa" w:w="55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Réponse</w:t>
            </w:r>
          </w:p>
        </w:tc>
      </w:tr>
      <w:tr>
        <w:tc>
          <w:tcPr>
            <w:tcW w:type="dxa" w:w="5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w:t>
            </w:r>
          </w:p>
        </w:tc>
        <w:tc>
          <w:tcPr>
            <w:tcW w:type="dxa" w:w="4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Pourquoi les fraudes aboutissent-elles trop souvent ?</w:t>
            </w:r>
          </w:p>
        </w:tc>
        <w:tc>
          <w:tcPr>
            <w:tcW w:type="dxa" w:w="55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Parce que l'alerte arrive trop tardivement.</w:t>
            </w:r>
          </w:p>
        </w:tc>
      </w:tr>
      <w:tr>
        <w:tc>
          <w:tcPr>
            <w:tcW w:type="dxa" w:w="5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w:t>
            </w:r>
          </w:p>
        </w:tc>
        <w:tc>
          <w:tcPr>
            <w:tcW w:type="dxa" w:w="4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Pourquoi l'alerte arrive-t-elle trop tard ?</w:t>
            </w:r>
          </w:p>
        </w:tc>
        <w:tc>
          <w:tcPr>
            <w:tcW w:type="dxa" w:w="55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Parce qu'elle est noyée dans un volume massif de faux positifs.</w:t>
            </w:r>
          </w:p>
        </w:tc>
      </w:tr>
      <w:tr>
        <w:tc>
          <w:tcPr>
            <w:tcW w:type="dxa" w:w="5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w:t>
            </w:r>
          </w:p>
        </w:tc>
        <w:tc>
          <w:tcPr>
            <w:tcW w:type="dxa" w:w="4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Pourquoi y a-t-il autant de faux positifs ?</w:t>
            </w:r>
          </w:p>
        </w:tc>
        <w:tc>
          <w:tcPr>
            <w:tcW w:type="dxa" w:w="55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Parce que les règles utilisent des seuils fixes, identiques pour tous les clients.</w:t>
            </w:r>
          </w:p>
        </w:tc>
      </w:tr>
      <w:tr>
        <w:tc>
          <w:tcPr>
            <w:tcW w:type="dxa" w:w="5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w:t>
            </w:r>
          </w:p>
        </w:tc>
        <w:tc>
          <w:tcPr>
            <w:tcW w:type="dxa" w:w="4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Pourquoi les seuils sont-ils rigides ?</w:t>
            </w:r>
          </w:p>
        </w:tc>
        <w:tc>
          <w:tcPr>
            <w:tcW w:type="dxa" w:w="55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Parce qu'il n'existe aucune contextualisation par profil ou historique client.</w:t>
            </w:r>
          </w:p>
        </w:tc>
      </w:tr>
      <w:tr>
        <w:tc>
          <w:tcPr>
            <w:tcW w:type="dxa" w:w="5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w:t>
            </w:r>
          </w:p>
        </w:tc>
        <w:tc>
          <w:tcPr>
            <w:tcW w:type="dxa" w:w="4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Pourquoi n'y a-t-il pas de contextualisation ?</w:t>
            </w:r>
          </w:p>
        </w:tc>
        <w:tc>
          <w:tcPr>
            <w:tcW w:type="dxa" w:w="55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Parce qu'il n'existe pas d'orchestration unifiée combinant scoring temps réel et intelligence artificielle explicative.</w:t>
            </w:r>
          </w:p>
        </w:tc>
      </w:tr>
    </w:tbl>
    <w:p>
      <w:pPr>
        <w:pBdr>
          <w:left w:val="single" w:color="0E8074" w:sz="24" w:space="8"/>
        </w:pBdr>
        <w:shd w:fill="E3F7F3" w:val="clear"/>
        <w:spacing w:after="200" w:before="200"/>
      </w:pPr>
      <w:r>
        <w:rPr>
          <w:rFonts w:ascii="Calibri" w:cs="Calibri" w:eastAsia="Calibri" w:hAnsi="Calibri"/>
          <w:b/>
          <w:bCs/>
          <w:color w:val="16215A"/>
          <w:sz w:val="22"/>
          <w:szCs w:val="22"/>
        </w:rPr>
        <w:t xml:space="preserve">Cause racine : </w:t>
      </w:r>
      <w:r>
        <w:rPr>
          <w:rFonts w:ascii="Calibri" w:cs="Calibri" w:eastAsia="Calibri" w:hAnsi="Calibri"/>
          <w:color w:val="16215A"/>
          <w:sz w:val="22"/>
          <w:szCs w:val="22"/>
        </w:rPr>
        <w:t xml:space="preserve">l'absence d'une orchestration temps réel unifiée entre un scoring contextualisé et une intelligence artificielle explicative. C'est cette conclusion qui a guidé l'ensemble des choix d'architecture présentés en section 11.</w:t>
      </w:r>
    </w:p>
    <w:p>
      <w:pPr>
        <w:pStyle w:val="Heading1"/>
        <w:pBdr>
          <w:bottom w:val="single" w:color="16215A" w:sz="8" w:space="4"/>
        </w:pBdr>
        <w:spacing w:after="200" w:before="400"/>
      </w:pPr>
      <w:r>
        <w:rPr>
          <w:rFonts w:ascii="Calibri" w:cs="Calibri" w:eastAsia="Calibri" w:hAnsi="Calibri"/>
          <w:b/>
          <w:bCs/>
          <w:color w:val="16215A"/>
          <w:sz w:val="30"/>
          <w:szCs w:val="30"/>
        </w:rPr>
        <w:t xml:space="preserve">6. Périmètre fonctionnel</w:t>
      </w:r>
    </w:p>
    <w:p>
      <w:pPr>
        <w:spacing w:after="160" w:line="276"/>
      </w:pPr>
      <w:r>
        <w:rPr>
          <w:rFonts w:ascii="Calibri" w:cs="Calibri" w:eastAsia="Calibri" w:hAnsi="Calibri"/>
          <w:sz w:val="22"/>
          <w:szCs w:val="22"/>
        </w:rPr>
        <w:t xml:space="preserve">Le prototype couvre trois blocs fonctionnels principaux :</w:t>
      </w:r>
    </w:p>
    <w:p>
      <w:pPr>
        <w:spacing w:after="80" w:line="264"/>
      </w:pPr>
      <w:r>
        <w:rPr>
          <w:rFonts w:ascii="Calibri" w:cs="Calibri" w:eastAsia="Calibri" w:hAnsi="Calibri"/>
          <w:sz w:val="22"/>
          <w:szCs w:val="22"/>
        </w:rPr>
        <w:t xml:space="preserve">1. Workflow 1 — Scoring et évaluation temps réel d'une transaction</w:t>
      </w:r>
    </w:p>
    <w:p>
      <w:pPr>
        <w:spacing w:after="80" w:line="264"/>
      </w:pPr>
      <w:r>
        <w:rPr>
          <w:rFonts w:ascii="Calibri" w:cs="Calibri" w:eastAsia="Calibri" w:hAnsi="Calibri"/>
          <w:sz w:val="22"/>
          <w:szCs w:val="22"/>
        </w:rPr>
        <w:t xml:space="preserve">2. Workflow 2 — Agent IA de diagnostic explicatif</w:t>
      </w:r>
    </w:p>
    <w:p>
      <w:pPr>
        <w:spacing w:after="80" w:line="264"/>
      </w:pPr>
      <w:r>
        <w:rPr>
          <w:rFonts w:ascii="Calibri" w:cs="Calibri" w:eastAsia="Calibri" w:hAnsi="Calibri"/>
          <w:sz w:val="22"/>
          <w:szCs w:val="22"/>
        </w:rPr>
        <w:t xml:space="preserve">3. Workflow 3 — Arbitrage, décision et suivi analyste</w:t>
      </w:r>
    </w:p>
    <w:p>
      <w:pPr>
        <w:spacing w:after="160" w:line="276"/>
      </w:pPr>
      <w:r>
        <w:rPr>
          <w:rFonts w:ascii="Calibri" w:cs="Calibri" w:eastAsia="Calibri" w:hAnsi="Calibri"/>
          <w:sz w:val="22"/>
          <w:szCs w:val="22"/>
        </w:rPr>
        <w:t xml:space="preserve">La version cible inclut également :</w:t>
      </w:r>
    </w:p>
    <w:p>
      <w:pPr>
        <w:pStyle w:val="ListParagraph"/>
        <w:numPr>
          <w:ilvl w:val="0"/>
          <w:numId w:val="1"/>
        </w:numPr>
        <w:spacing w:after="80" w:line="264"/>
      </w:pPr>
      <w:r>
        <w:rPr>
          <w:rFonts w:ascii="Calibri" w:cs="Calibri" w:eastAsia="Calibri" w:hAnsi="Calibri"/>
          <w:sz w:val="22"/>
          <w:szCs w:val="22"/>
        </w:rPr>
        <w:t xml:space="preserve">un simulateur de porteur marocain permettant de rejouer des scénarios de transaction réalistes (achat normal, faux positif voyageur, vidage de compte crypto, vélocité anormale) ;</w:t>
      </w:r>
    </w:p>
    <w:p>
      <w:pPr>
        <w:pStyle w:val="ListParagraph"/>
        <w:numPr>
          <w:ilvl w:val="0"/>
          <w:numId w:val="1"/>
        </w:numPr>
        <w:spacing w:after="80" w:line="264"/>
      </w:pPr>
      <w:r>
        <w:rPr>
          <w:rFonts w:ascii="Calibri" w:cs="Calibri" w:eastAsia="Calibri" w:hAnsi="Calibri"/>
          <w:sz w:val="22"/>
          <w:szCs w:val="22"/>
        </w:rPr>
        <w:t xml:space="preserve">un dashboard SOC de supervision globale, avec console d'arbitrage intégrée ;</w:t>
      </w:r>
    </w:p>
    <w:p>
      <w:pPr>
        <w:pStyle w:val="ListParagraph"/>
        <w:numPr>
          <w:ilvl w:val="0"/>
          <w:numId w:val="1"/>
        </w:numPr>
        <w:spacing w:after="80" w:line="264"/>
      </w:pPr>
      <w:r>
        <w:rPr>
          <w:rFonts w:ascii="Calibri" w:cs="Calibri" w:eastAsia="Calibri" w:hAnsi="Calibri"/>
          <w:sz w:val="22"/>
          <w:szCs w:val="22"/>
        </w:rPr>
        <w:t xml:space="preserve">une traçabilité complète des décisions, sans suppression ni simplification des étapes métier.</w:t>
      </w:r>
    </w:p>
    <w:p>
      <w:pPr>
        <w:pStyle w:val="Heading1"/>
        <w:pBdr>
          <w:bottom w:val="single" w:color="16215A" w:sz="8" w:space="4"/>
        </w:pBdr>
        <w:spacing w:after="200" w:before="400"/>
      </w:pPr>
      <w:r>
        <w:rPr>
          <w:rFonts w:ascii="Calibri" w:cs="Calibri" w:eastAsia="Calibri" w:hAnsi="Calibri"/>
          <w:b/>
          <w:bCs/>
          <w:color w:val="16215A"/>
          <w:sz w:val="30"/>
          <w:szCs w:val="30"/>
        </w:rPr>
        <w:t xml:space="preserve">7. Acteurs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rPr>
          <w:tblHeader/>
        </w:trPr>
        <w:tc>
          <w:tcPr>
            <w:tcW w:type="dxa" w:w="32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Acteur</w:t>
            </w:r>
          </w:p>
        </w:tc>
        <w:tc>
          <w:tcPr>
            <w:tcW w:type="dxa" w:w="70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Responsabilités principales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Porteur de carte / client</w:t>
            </w:r>
          </w:p>
        </w:tc>
        <w:tc>
          <w:tcPr>
            <w:tcW w:type="dxa" w:w="7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Initie la transaction ; subit la décision (approbation, challenge 2FA, blocage) ; peut être sollicité pour confirmer son identité.</w:t>
            </w:r>
          </w:p>
        </w:tc>
      </w:tr>
      <w:tr>
        <w:tc>
          <w:tcPr>
            <w:tcW w:type="dxa" w:w="3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Analyste sécurité / SOC</w:t>
            </w:r>
          </w:p>
        </w:tc>
        <w:tc>
          <w:tcPr>
            <w:tcW w:type="dxa" w:w="70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Consulte les alertes, lit le diagnostic IA, arbitre (confirmer fraude / faux positif), suit l'évolution d'un cas.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Responsable conformité</w:t>
            </w:r>
          </w:p>
        </w:tc>
        <w:tc>
          <w:tcPr>
            <w:tcW w:type="dxa" w:w="7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Supervise le taux de faux positifs, les logs d'audit, la conformité BAM / CNDP.</w:t>
            </w:r>
          </w:p>
        </w:tc>
      </w:tr>
      <w:tr>
        <w:tc>
          <w:tcPr>
            <w:tcW w:type="dxa" w:w="3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Direction / partenaires bancaires</w:t>
            </w:r>
          </w:p>
        </w:tc>
        <w:tc>
          <w:tcPr>
            <w:tcW w:type="dxa" w:w="70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Consulte les indicateurs globaux, l'impact business et l'état du dispositif.</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Système BankShield AI</w:t>
            </w:r>
          </w:p>
        </w:tc>
        <w:tc>
          <w:tcPr>
            <w:tcW w:type="dxa" w:w="7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Centralise, score, diagnostique, historise et alerte — sans jamais remplacer la décision humaine finale.</w:t>
            </w:r>
          </w:p>
        </w:tc>
      </w:tr>
    </w:tbl>
    <w:p>
      <w:pPr>
        <w:pStyle w:val="Heading1"/>
        <w:pBdr>
          <w:bottom w:val="single" w:color="16215A" w:sz="8" w:space="4"/>
        </w:pBdr>
        <w:spacing w:after="200" w:before="400"/>
      </w:pPr>
      <w:r>
        <w:rPr>
          <w:rFonts w:ascii="Calibri" w:cs="Calibri" w:eastAsia="Calibri" w:hAnsi="Calibri"/>
          <w:b/>
          <w:bCs/>
          <w:color w:val="16215A"/>
          <w:sz w:val="30"/>
          <w:szCs w:val="30"/>
        </w:rPr>
        <w:t xml:space="preserve">8. Données exploitées</w:t>
      </w:r>
    </w:p>
    <w:p>
      <w:pPr>
        <w:spacing w:after="160" w:line="276"/>
      </w:pPr>
      <w:r>
        <w:rPr>
          <w:rFonts w:ascii="Calibri" w:cs="Calibri" w:eastAsia="Calibri" w:hAnsi="Calibri"/>
          <w:sz w:val="22"/>
          <w:szCs w:val="22"/>
        </w:rPr>
        <w:t xml:space="preserve">Le prototype s'appuie sur PostgreSQL / Supabase.</w:t>
      </w:r>
    </w:p>
    <w:p>
      <w:pPr>
        <w:pStyle w:val="Heading2"/>
        <w:spacing w:after="140" w:before="260"/>
      </w:pPr>
      <w:r>
        <w:rPr>
          <w:rFonts w:ascii="Calibri" w:cs="Calibri" w:eastAsia="Calibri" w:hAnsi="Calibri"/>
          <w:b/>
          <w:bCs/>
          <w:color w:val="2563EB"/>
          <w:sz w:val="24"/>
          <w:szCs w:val="24"/>
        </w:rPr>
        <w:t xml:space="preserve">8.1 Données transactionnelles</w:t>
      </w:r>
    </w:p>
    <w:p>
      <w:pPr>
        <w:pStyle w:val="ListParagraph"/>
        <w:numPr>
          <w:ilvl w:val="0"/>
          <w:numId w:val="1"/>
        </w:numPr>
        <w:spacing w:after="80" w:line="264"/>
      </w:pPr>
      <w:r>
        <w:rPr>
          <w:rFonts w:ascii="Calibri" w:cs="Calibri" w:eastAsia="Calibri" w:hAnsi="Calibri"/>
          <w:sz w:val="22"/>
          <w:szCs w:val="22"/>
        </w:rPr>
        <w:t xml:space="preserve">Identifiant de transaction et de client</w:t>
      </w:r>
    </w:p>
    <w:p>
      <w:pPr>
        <w:pStyle w:val="ListParagraph"/>
        <w:numPr>
          <w:ilvl w:val="0"/>
          <w:numId w:val="1"/>
        </w:numPr>
        <w:spacing w:after="80" w:line="264"/>
      </w:pPr>
      <w:r>
        <w:rPr>
          <w:rFonts w:ascii="Calibri" w:cs="Calibri" w:eastAsia="Calibri" w:hAnsi="Calibri"/>
          <w:sz w:val="22"/>
          <w:szCs w:val="22"/>
        </w:rPr>
        <w:t xml:space="preserve">Type d'opération, canal (TPE / Web / Virement)</w:t>
      </w:r>
    </w:p>
    <w:p>
      <w:pPr>
        <w:pStyle w:val="ListParagraph"/>
        <w:numPr>
          <w:ilvl w:val="0"/>
          <w:numId w:val="1"/>
        </w:numPr>
        <w:spacing w:after="80" w:line="264"/>
      </w:pPr>
      <w:r>
        <w:rPr>
          <w:rFonts w:ascii="Calibri" w:cs="Calibri" w:eastAsia="Calibri" w:hAnsi="Calibri"/>
          <w:sz w:val="22"/>
          <w:szCs w:val="22"/>
        </w:rPr>
        <w:t xml:space="preserve">Montant et devise</w:t>
      </w:r>
    </w:p>
    <w:p>
      <w:pPr>
        <w:pStyle w:val="ListParagraph"/>
        <w:numPr>
          <w:ilvl w:val="0"/>
          <w:numId w:val="1"/>
        </w:numPr>
        <w:spacing w:after="80" w:line="264"/>
      </w:pPr>
      <w:r>
        <w:rPr>
          <w:rFonts w:ascii="Calibri" w:cs="Calibri" w:eastAsia="Calibri" w:hAnsi="Calibri"/>
          <w:sz w:val="22"/>
          <w:szCs w:val="22"/>
        </w:rPr>
        <w:t xml:space="preserve">Identifiant appareil / IP</w:t>
      </w:r>
    </w:p>
    <w:p>
      <w:pPr>
        <w:pStyle w:val="ListParagraph"/>
        <w:numPr>
          <w:ilvl w:val="0"/>
          <w:numId w:val="1"/>
        </w:numPr>
        <w:spacing w:after="80" w:line="264"/>
      </w:pPr>
      <w:r>
        <w:rPr>
          <w:rFonts w:ascii="Calibri" w:cs="Calibri" w:eastAsia="Calibri" w:hAnsi="Calibri"/>
          <w:sz w:val="22"/>
          <w:szCs w:val="22"/>
        </w:rPr>
        <w:t xml:space="preserve">Localisation (ville, pays)</w:t>
      </w:r>
    </w:p>
    <w:p>
      <w:pPr>
        <w:pStyle w:val="ListParagraph"/>
        <w:numPr>
          <w:ilvl w:val="0"/>
          <w:numId w:val="1"/>
        </w:numPr>
        <w:spacing w:after="80" w:line="264"/>
      </w:pPr>
      <w:r>
        <w:rPr>
          <w:rFonts w:ascii="Calibri" w:cs="Calibri" w:eastAsia="Calibri" w:hAnsi="Calibri"/>
          <w:sz w:val="22"/>
          <w:szCs w:val="22"/>
        </w:rPr>
        <w:t xml:space="preserve">Horodatage précis</w:t>
      </w:r>
    </w:p>
    <w:p>
      <w:pPr>
        <w:pStyle w:val="ListParagraph"/>
        <w:numPr>
          <w:ilvl w:val="0"/>
          <w:numId w:val="1"/>
        </w:numPr>
        <w:spacing w:after="80" w:line="264"/>
      </w:pPr>
      <w:r>
        <w:rPr>
          <w:rFonts w:ascii="Calibri" w:cs="Calibri" w:eastAsia="Calibri" w:hAnsi="Calibri"/>
          <w:sz w:val="22"/>
          <w:szCs w:val="22"/>
        </w:rPr>
        <w:t xml:space="preserve">Compte et nom du bénéficiaire</w:t>
      </w:r>
    </w:p>
    <w:p>
      <w:pPr>
        <w:pStyle w:val="ListParagraph"/>
        <w:numPr>
          <w:ilvl w:val="0"/>
          <w:numId w:val="1"/>
        </w:numPr>
        <w:spacing w:after="80" w:line="264"/>
      </w:pPr>
      <w:r>
        <w:rPr>
          <w:rFonts w:ascii="Calibri" w:cs="Calibri" w:eastAsia="Calibri" w:hAnsi="Calibri"/>
          <w:sz w:val="22"/>
          <w:szCs w:val="22"/>
        </w:rPr>
        <w:t xml:space="preserve">Catégorie marchand</w:t>
      </w:r>
    </w:p>
    <w:p>
      <w:pPr>
        <w:pStyle w:val="ListParagraph"/>
        <w:numPr>
          <w:ilvl w:val="0"/>
          <w:numId w:val="1"/>
        </w:numPr>
        <w:spacing w:after="80" w:line="264"/>
      </w:pPr>
      <w:r>
        <w:rPr>
          <w:rFonts w:ascii="Calibri" w:cs="Calibri" w:eastAsia="Calibri" w:hAnsi="Calibri"/>
          <w:sz w:val="22"/>
          <w:szCs w:val="22"/>
        </w:rPr>
        <w:t xml:space="preserve">Authentification par puce et code PIN</w:t>
      </w:r>
    </w:p>
    <w:p>
      <w:pPr>
        <w:pStyle w:val="Heading2"/>
        <w:spacing w:after="140" w:before="260"/>
      </w:pPr>
      <w:r>
        <w:rPr>
          <w:rFonts w:ascii="Calibri" w:cs="Calibri" w:eastAsia="Calibri" w:hAnsi="Calibri"/>
          <w:b/>
          <w:bCs/>
          <w:color w:val="2563EB"/>
          <w:sz w:val="24"/>
          <w:szCs w:val="24"/>
        </w:rPr>
        <w:t xml:space="preserve">8.2 Types d'opérations couvertes</w:t>
      </w:r>
    </w:p>
    <w:p>
      <w:pPr>
        <w:pStyle w:val="ListParagraph"/>
        <w:numPr>
          <w:ilvl w:val="0"/>
          <w:numId w:val="1"/>
        </w:numPr>
        <w:spacing w:after="80" w:line="264"/>
      </w:pPr>
      <w:r>
        <w:rPr>
          <w:rFonts w:ascii="Calibri" w:cs="Calibri" w:eastAsia="Calibri" w:hAnsi="Calibri"/>
          <w:sz w:val="22"/>
          <w:szCs w:val="22"/>
        </w:rPr>
        <w:t xml:space="preserve">Paiement par terminal (TPE)</w:t>
      </w:r>
    </w:p>
    <w:p>
      <w:pPr>
        <w:pStyle w:val="ListParagraph"/>
        <w:numPr>
          <w:ilvl w:val="0"/>
          <w:numId w:val="1"/>
        </w:numPr>
        <w:spacing w:after="80" w:line="264"/>
      </w:pPr>
      <w:r>
        <w:rPr>
          <w:rFonts w:ascii="Calibri" w:cs="Calibri" w:eastAsia="Calibri" w:hAnsi="Calibri"/>
          <w:sz w:val="22"/>
          <w:szCs w:val="22"/>
        </w:rPr>
        <w:t xml:space="preserve">Paiement web / e-commerce</w:t>
      </w:r>
    </w:p>
    <w:p>
      <w:pPr>
        <w:pStyle w:val="ListParagraph"/>
        <w:numPr>
          <w:ilvl w:val="0"/>
          <w:numId w:val="1"/>
        </w:numPr>
        <w:spacing w:after="80" w:line="264"/>
      </w:pPr>
      <w:r>
        <w:rPr>
          <w:rFonts w:ascii="Calibri" w:cs="Calibri" w:eastAsia="Calibri" w:hAnsi="Calibri"/>
          <w:sz w:val="22"/>
          <w:szCs w:val="22"/>
        </w:rPr>
        <w:t xml:space="preserve">Virement, y compris instantané</w:t>
      </w:r>
    </w:p>
    <w:p>
      <w:pPr>
        <w:pStyle w:val="ListParagraph"/>
        <w:numPr>
          <w:ilvl w:val="0"/>
          <w:numId w:val="1"/>
        </w:numPr>
        <w:spacing w:after="80" w:line="264"/>
      </w:pPr>
      <w:r>
        <w:rPr>
          <w:rFonts w:ascii="Calibri" w:cs="Calibri" w:eastAsia="Calibri" w:hAnsi="Calibri"/>
          <w:sz w:val="22"/>
          <w:szCs w:val="22"/>
        </w:rPr>
        <w:t xml:space="preserve">Retrait guichet automatique (GAB)</w:t>
      </w:r>
    </w:p>
    <w:p>
      <w:pPr>
        <w:pStyle w:val="ListParagraph"/>
        <w:numPr>
          <w:ilvl w:val="0"/>
          <w:numId w:val="1"/>
        </w:numPr>
        <w:spacing w:after="80" w:line="264"/>
      </w:pPr>
      <w:r>
        <w:rPr>
          <w:rFonts w:ascii="Calibri" w:cs="Calibri" w:eastAsia="Calibri" w:hAnsi="Calibri"/>
          <w:sz w:val="22"/>
          <w:szCs w:val="22"/>
        </w:rPr>
        <w:t xml:space="preserve">Transfert international</w:t>
      </w:r>
    </w:p>
    <w:p>
      <w:pPr>
        <w:pStyle w:val="Heading2"/>
        <w:spacing w:after="140" w:before="260"/>
      </w:pPr>
      <w:r>
        <w:rPr>
          <w:rFonts w:ascii="Calibri" w:cs="Calibri" w:eastAsia="Calibri" w:hAnsi="Calibri"/>
          <w:b/>
          <w:bCs/>
          <w:color w:val="2563EB"/>
          <w:sz w:val="24"/>
          <w:szCs w:val="24"/>
        </w:rPr>
        <w:t xml:space="preserve">8.3 Principe de confidentialité</w:t>
      </w:r>
    </w:p>
    <w:p>
      <w:pPr>
        <w:spacing w:after="160" w:line="276"/>
      </w:pPr>
      <w:r>
        <w:rPr>
          <w:rFonts w:ascii="Calibri" w:cs="Calibri" w:eastAsia="Calibri" w:hAnsi="Calibri"/>
          <w:sz w:val="22"/>
          <w:szCs w:val="22"/>
        </w:rPr>
        <w:t xml:space="preserve">Les identifiants clients sont pseudonymisés dans l'environnement de démonstration. Le secret bancaire est respecté : les synthèses générées par l'IA évitent d'exposer un RIB complet ou une donnée d'identité superflue.</w:t>
      </w:r>
    </w:p>
    <w:p>
      <w:pPr>
        <w:pStyle w:val="Heading1"/>
        <w:pBdr>
          <w:bottom w:val="single" w:color="16215A" w:sz="8" w:space="4"/>
        </w:pBdr>
        <w:spacing w:after="200" w:before="400"/>
      </w:pPr>
      <w:r>
        <w:rPr>
          <w:rFonts w:ascii="Calibri" w:cs="Calibri" w:eastAsia="Calibri" w:hAnsi="Calibri"/>
          <w:b/>
          <w:bCs/>
          <w:color w:val="16215A"/>
          <w:sz w:val="30"/>
          <w:szCs w:val="30"/>
        </w:rPr>
        <w:t xml:space="preserve">9. Processus BPMN — As-Is</w:t>
      </w:r>
    </w:p>
    <w:p>
      <w:pPr>
        <w:spacing w:after="160" w:line="276"/>
      </w:pPr>
      <w:r>
        <w:rPr>
          <w:rFonts w:ascii="Calibri" w:cs="Calibri" w:eastAsia="Calibri" w:hAnsi="Calibri"/>
          <w:sz w:val="22"/>
          <w:szCs w:val="22"/>
        </w:rPr>
        <w:t xml:space="preserve">Le schéma ci-dessous décrit le processus manuel actuellement en vigueur dans la majorité des banques marocaines.</w:t>
      </w:r>
    </w:p>
    <w:p>
      <w:pPr>
        <w:spacing w:after="60"/>
      </w:pPr>
      <w:r>
        <w:rPr>
          <w:rFonts w:ascii="Calibri" w:cs="Calibri" w:eastAsia="Calibri" w:hAnsi="Calibri"/>
          <w:b/>
          <w:bCs/>
          <w:color w:val="B3261E"/>
          <w:sz w:val="22"/>
          <w:szCs w:val="22"/>
        </w:rPr>
        <w:t xml:space="preserve">▸  </w:t>
      </w:r>
      <w:r>
        <w:rPr>
          <w:rFonts w:ascii="Calibri" w:cs="Calibri" w:eastAsia="Calibri" w:hAnsi="Calibri"/>
          <w:sz w:val="22"/>
          <w:szCs w:val="22"/>
        </w:rPr>
        <w:t xml:space="preserve">Transaction émise par le porteur</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B3261E"/>
          <w:sz w:val="22"/>
          <w:szCs w:val="22"/>
        </w:rPr>
        <w:t xml:space="preserve">▸  </w:t>
      </w:r>
      <w:r>
        <w:rPr>
          <w:rFonts w:ascii="Calibri" w:cs="Calibri" w:eastAsia="Calibri" w:hAnsi="Calibri"/>
          <w:sz w:val="22"/>
          <w:szCs w:val="22"/>
        </w:rPr>
        <w:t xml:space="preserve">Règle de plafond fixe dépassée (ex. &gt; 2 000 MAD à l'international)</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B3261E"/>
          <w:sz w:val="22"/>
          <w:szCs w:val="22"/>
        </w:rPr>
        <w:t xml:space="preserve">▸  </w:t>
      </w:r>
      <w:r>
        <w:rPr>
          <w:rFonts w:ascii="Calibri" w:cs="Calibri" w:eastAsia="Calibri" w:hAnsi="Calibri"/>
          <w:sz w:val="22"/>
          <w:szCs w:val="22"/>
        </w:rPr>
        <w:t xml:space="preserve">Ticket créé, mis en file d'attente</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B3261E"/>
          <w:sz w:val="22"/>
          <w:szCs w:val="22"/>
        </w:rPr>
        <w:t xml:space="preserve">▸  </w:t>
      </w:r>
      <w:r>
        <w:rPr>
          <w:rFonts w:ascii="Calibri" w:cs="Calibri" w:eastAsia="Calibri" w:hAnsi="Calibri"/>
          <w:sz w:val="22"/>
          <w:szCs w:val="22"/>
        </w:rPr>
        <w:t xml:space="preserve">Traitement différé par lots (batch nocturne de compensation CMI)</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B3261E"/>
          <w:sz w:val="22"/>
          <w:szCs w:val="22"/>
        </w:rPr>
        <w:t xml:space="preserve">▸  </w:t>
      </w:r>
      <w:r>
        <w:rPr>
          <w:rFonts w:ascii="Calibri" w:cs="Calibri" w:eastAsia="Calibri" w:hAnsi="Calibri"/>
          <w:sz w:val="22"/>
          <w:szCs w:val="22"/>
        </w:rPr>
        <w:t xml:space="preserve">Enquête manuelle dispersée (téléphone, ticket papier)</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B3261E"/>
          <w:sz w:val="22"/>
          <w:szCs w:val="22"/>
        </w:rPr>
        <w:t xml:space="preserve">▸  </w:t>
      </w:r>
      <w:r>
        <w:rPr>
          <w:rFonts w:ascii="Calibri" w:cs="Calibri" w:eastAsia="Calibri" w:hAnsi="Calibri"/>
          <w:sz w:val="22"/>
          <w:szCs w:val="22"/>
        </w:rPr>
        <w:t xml:space="preserve">Décision rendue après 24 à 48 heures</w:t>
      </w:r>
    </w:p>
    <w:p>
      <w:pPr>
        <w:spacing w:after="160" w:before="160"/>
      </w:pPr>
      <w:r>
        <w:rPr>
          <w:rFonts w:ascii="Calibri" w:cs="Calibri" w:eastAsia="Calibri" w:hAnsi="Calibri"/>
          <w:b/>
          <w:bCs/>
          <w:sz w:val="22"/>
          <w:szCs w:val="22"/>
        </w:rPr>
        <w:t xml:space="preserve">Deux issues possibles à ce délai :</w:t>
      </w:r>
    </w:p>
    <w:p>
      <w:pPr>
        <w:pStyle w:val="ListParagraph"/>
        <w:numPr>
          <w:ilvl w:val="0"/>
          <w:numId w:val="1"/>
        </w:numPr>
        <w:spacing w:after="80" w:line="264"/>
      </w:pPr>
      <w:r>
        <w:rPr>
          <w:rFonts w:ascii="Calibri" w:cs="Calibri" w:eastAsia="Calibri" w:hAnsi="Calibri"/>
          <w:color w:val="B3261E"/>
          <w:sz w:val="22"/>
          <w:szCs w:val="22"/>
        </w:rPr>
        <w:t xml:space="preserve">les fonds sont déjà évaporés lorsque la fraude est confirmée (perte sèche) ;</w:t>
      </w:r>
    </w:p>
    <w:p>
      <w:pPr>
        <w:pStyle w:val="ListParagraph"/>
        <w:numPr>
          <w:ilvl w:val="0"/>
          <w:numId w:val="1"/>
        </w:numPr>
        <w:spacing w:after="80" w:line="264"/>
      </w:pPr>
      <w:r>
        <w:rPr>
          <w:rFonts w:ascii="Calibri" w:cs="Calibri" w:eastAsia="Calibri" w:hAnsi="Calibri"/>
          <w:color w:val="B3261E"/>
          <w:sz w:val="22"/>
          <w:szCs w:val="22"/>
        </w:rPr>
        <w:t xml:space="preserve">ou un client parfaitement légitime reste bloqué, parfois en plein voyage.</w:t>
      </w:r>
    </w:p>
    <w:p>
      <w:pPr>
        <w:pStyle w:val="Heading1"/>
        <w:pBdr>
          <w:bottom w:val="single" w:color="16215A" w:sz="8" w:space="4"/>
        </w:pBdr>
        <w:spacing w:after="200" w:before="400"/>
      </w:pPr>
      <w:r>
        <w:rPr>
          <w:rFonts w:ascii="Calibri" w:cs="Calibri" w:eastAsia="Calibri" w:hAnsi="Calibri"/>
          <w:b/>
          <w:bCs/>
          <w:color w:val="16215A"/>
          <w:sz w:val="30"/>
          <w:szCs w:val="30"/>
        </w:rPr>
        <w:t xml:space="preserve">10. Processus BPMN — To-Be</w:t>
      </w:r>
    </w:p>
    <w:p>
      <w:pPr>
        <w:spacing w:after="160" w:line="276"/>
      </w:pPr>
      <w:r>
        <w:rPr>
          <w:rFonts w:ascii="Calibri" w:cs="Calibri" w:eastAsia="Calibri" w:hAnsi="Calibri"/>
          <w:sz w:val="22"/>
          <w:szCs w:val="22"/>
        </w:rPr>
        <w:t xml:space="preserve">Le processus cible remplace le traitement par lots par une évaluation contextualisée en flux continu.</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Transaction émise (TPE / Web / Virement)</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Passage par le switch interbancaire CMI</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Ingestion par webhook BankShield (&lt; 200 ms)</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Scoring par les 12 règles déterministes (0–100)</w:t>
      </w:r>
    </w:p>
    <w:p>
      <w:pPr>
        <w:spacing w:after="60"/>
        <w:ind w:left="200"/>
      </w:pPr>
      <w:r>
        <w:rPr>
          <w:rFonts w:ascii="Calibri" w:cs="Calibri" w:eastAsia="Calibri" w:hAnsi="Calibri"/>
          <w:color w:val="5B6B8C"/>
          <w:sz w:val="22"/>
          <w:szCs w:val="22"/>
        </w:rPr>
        <w:t xml:space="preserve">↓</w:t>
      </w:r>
    </w:p>
    <w:p>
      <w:pPr>
        <w:shd w:fill="EAF0FE" w:val="clear"/>
        <w:spacing w:after="80" w:before="80"/>
      </w:pPr>
      <w:r>
        <w:rPr>
          <w:rFonts w:ascii="Calibri" w:cs="Calibri" w:eastAsia="Calibri" w:hAnsi="Calibri"/>
          <w:b/>
          <w:bCs/>
          <w:color w:val="16215A"/>
          <w:sz w:val="22"/>
          <w:szCs w:val="22"/>
        </w:rPr>
        <w:t xml:space="preserve">Passerelle de décision — score obtenu :</w:t>
      </w:r>
    </w:p>
    <w:p>
      <w:pPr>
        <w:pStyle w:val="ListParagraph"/>
        <w:numPr>
          <w:ilvl w:val="0"/>
          <w:numId w:val="1"/>
        </w:numPr>
        <w:spacing w:after="80" w:line="264"/>
      </w:pPr>
      <w:r>
        <w:rPr>
          <w:rFonts w:ascii="Calibri" w:cs="Calibri" w:eastAsia="Calibri" w:hAnsi="Calibri"/>
          <w:color w:val="0E8074"/>
          <w:sz w:val="22"/>
          <w:szCs w:val="22"/>
        </w:rPr>
        <w:t xml:space="preserve">Score 0–30 → Approuver automatiquement</w:t>
      </w:r>
    </w:p>
    <w:p>
      <w:pPr>
        <w:pStyle w:val="ListParagraph"/>
        <w:numPr>
          <w:ilvl w:val="0"/>
          <w:numId w:val="1"/>
        </w:numPr>
        <w:spacing w:after="80" w:line="264"/>
      </w:pPr>
      <w:r>
        <w:rPr>
          <w:rFonts w:ascii="Calibri" w:cs="Calibri" w:eastAsia="Calibri" w:hAnsi="Calibri"/>
          <w:color w:val="B45309"/>
          <w:sz w:val="22"/>
          <w:szCs w:val="22"/>
        </w:rPr>
        <w:t xml:space="preserve">Score 31–70 → Challenge 2FA (authentification à deux facteurs)</w:t>
      </w:r>
    </w:p>
    <w:p>
      <w:pPr>
        <w:pStyle w:val="ListParagraph"/>
        <w:numPr>
          <w:ilvl w:val="0"/>
          <w:numId w:val="1"/>
        </w:numPr>
        <w:spacing w:after="80" w:line="264"/>
      </w:pPr>
      <w:r>
        <w:rPr>
          <w:rFonts w:ascii="Calibri" w:cs="Calibri" w:eastAsia="Calibri" w:hAnsi="Calibri"/>
          <w:color w:val="B3261E"/>
          <w:sz w:val="22"/>
          <w:szCs w:val="22"/>
        </w:rPr>
        <w:t xml:space="preserve">Score 71–100 → Bloquer &amp; alerter</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Diagnostic IA explicatif généré (Gemini, &lt; 2 s) — uniquement si score ≥ 66</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Alerte dispatchée (Slack / Telegram)</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Arbitrage analyste sur le dashboard SOC</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0E8074"/>
          <w:sz w:val="22"/>
          <w:szCs w:val="22"/>
        </w:rPr>
        <w:t xml:space="preserve">▸  </w:t>
      </w:r>
      <w:r>
        <w:rPr>
          <w:rFonts w:ascii="Calibri" w:cs="Calibri" w:eastAsia="Calibri" w:hAnsi="Calibri"/>
          <w:sz w:val="22"/>
          <w:szCs w:val="22"/>
        </w:rPr>
        <w:t xml:space="preserve">Mise à jour PostgreSQL et réévaluation de l'historique client</w:t>
      </w:r>
    </w:p>
    <w:p>
      <w:pPr>
        <w:spacing w:after="60"/>
        <w:ind w:left="200"/>
      </w:pPr>
      <w:r>
        <w:rPr>
          <w:rFonts w:ascii="Calibri" w:cs="Calibri" w:eastAsia="Calibri" w:hAnsi="Calibri"/>
          <w:color w:val="5B6B8C"/>
          <w:sz w:val="22"/>
          <w:szCs w:val="22"/>
        </w:rPr>
        <w:t xml:space="preserve">↓</w:t>
      </w:r>
    </w:p>
    <w:p>
      <w:pPr>
        <w:spacing w:after="160" w:line="276"/>
      </w:pPr>
      <w:r>
        <w:rPr>
          <w:rFonts w:ascii="Calibri" w:cs="Calibri" w:eastAsia="Calibri" w:hAnsi="Calibri"/>
          <w:sz w:val="22"/>
          <w:szCs w:val="22"/>
        </w:rPr>
        <w:t xml:space="preserve">Résultat : le délai de réaction passe de 24-48 heures à moins d'une seconde pour l'écrasante majorité des transactions.</w:t>
      </w:r>
    </w:p>
    <w:p>
      <w:pPr>
        <w:pStyle w:val="Heading1"/>
        <w:pBdr>
          <w:bottom w:val="single" w:color="16215A" w:sz="8" w:space="4"/>
        </w:pBdr>
        <w:spacing w:after="200" w:before="400"/>
      </w:pPr>
      <w:r>
        <w:rPr>
          <w:rFonts w:ascii="Calibri" w:cs="Calibri" w:eastAsia="Calibri" w:hAnsi="Calibri"/>
          <w:b/>
          <w:bCs/>
          <w:color w:val="16215A"/>
          <w:sz w:val="30"/>
          <w:szCs w:val="30"/>
        </w:rPr>
        <w:t xml:space="preserve">11. Architecture technique</w:t>
      </w:r>
    </w:p>
    <w:p>
      <w:pPr>
        <w:spacing w:after="160" w:line="276"/>
      </w:pPr>
      <w:r>
        <w:rPr>
          <w:rFonts w:ascii="Calibri" w:cs="Calibri" w:eastAsia="Calibri" w:hAnsi="Calibri"/>
          <w:sz w:val="22"/>
          <w:szCs w:val="22"/>
        </w:rPr>
        <w:t xml:space="preserve">BankShield AI est conçu comme une couche d'intelligence middleware, insérée entre la passerelle CMI / banque et le Core Banking.</w:t>
      </w:r>
    </w:p>
    <w:p>
      <w:pPr>
        <w:pStyle w:val="Heading2"/>
        <w:spacing w:after="140" w:before="260"/>
      </w:pPr>
      <w:r>
        <w:rPr>
          <w:rFonts w:ascii="Calibri" w:cs="Calibri" w:eastAsia="Calibri" w:hAnsi="Calibri"/>
          <w:b/>
          <w:bCs/>
          <w:color w:val="2563EB"/>
          <w:sz w:val="24"/>
          <w:szCs w:val="24"/>
        </w:rPr>
        <w:t xml:space="preserve">11.1 Composants</w:t>
      </w:r>
    </w:p>
    <w:p>
      <w:pPr>
        <w:pStyle w:val="ListParagraph"/>
        <w:numPr>
          <w:ilvl w:val="0"/>
          <w:numId w:val="1"/>
        </w:numPr>
        <w:spacing w:after="80" w:line="264"/>
      </w:pPr>
      <w:r>
        <w:rPr>
          <w:rFonts w:ascii="Calibri" w:cs="Calibri" w:eastAsia="Calibri" w:hAnsi="Calibri"/>
          <w:sz w:val="22"/>
          <w:szCs w:val="22"/>
        </w:rPr>
        <w:t xml:space="preserve">Interface web (Next.js) pour le dashboard SOC et les routes serveur ;</w:t>
      </w:r>
    </w:p>
    <w:p>
      <w:pPr>
        <w:pStyle w:val="ListParagraph"/>
        <w:numPr>
          <w:ilvl w:val="0"/>
          <w:numId w:val="1"/>
        </w:numPr>
        <w:spacing w:after="80" w:line="264"/>
      </w:pPr>
      <w:r>
        <w:rPr>
          <w:rFonts w:ascii="Calibri" w:cs="Calibri" w:eastAsia="Calibri" w:hAnsi="Calibri"/>
          <w:sz w:val="22"/>
          <w:szCs w:val="22"/>
        </w:rPr>
        <w:t xml:space="preserve">Fusion AI pour l'orchestration des trois workflows (scoring, diagnostic, arbitrage) ;</w:t>
      </w:r>
    </w:p>
    <w:p>
      <w:pPr>
        <w:pStyle w:val="ListParagraph"/>
        <w:numPr>
          <w:ilvl w:val="0"/>
          <w:numId w:val="1"/>
        </w:numPr>
        <w:spacing w:after="80" w:line="264"/>
      </w:pPr>
      <w:r>
        <w:rPr>
          <w:rFonts w:ascii="Calibri" w:cs="Calibri" w:eastAsia="Calibri" w:hAnsi="Calibri"/>
          <w:sz w:val="22"/>
          <w:szCs w:val="22"/>
        </w:rPr>
        <w:t xml:space="preserve">Supabase / PostgreSQL comme source de vérité, avec stockage immuable des scores ;</w:t>
      </w:r>
    </w:p>
    <w:p>
      <w:pPr>
        <w:pStyle w:val="ListParagraph"/>
        <w:numPr>
          <w:ilvl w:val="0"/>
          <w:numId w:val="1"/>
        </w:numPr>
        <w:spacing w:after="80" w:line="264"/>
      </w:pPr>
      <w:r>
        <w:rPr>
          <w:rFonts w:ascii="Calibri" w:cs="Calibri" w:eastAsia="Calibri" w:hAnsi="Calibri"/>
          <w:sz w:val="22"/>
          <w:szCs w:val="22"/>
        </w:rPr>
        <w:t xml:space="preserve">LLM (Gemini) exclusivement pour la synthèse explicative — jamais pour le recalcul du score ;</w:t>
      </w:r>
    </w:p>
    <w:p>
      <w:pPr>
        <w:pStyle w:val="ListParagraph"/>
        <w:numPr>
          <w:ilvl w:val="0"/>
          <w:numId w:val="1"/>
        </w:numPr>
        <w:spacing w:after="80" w:line="264"/>
      </w:pPr>
      <w:r>
        <w:rPr>
          <w:rFonts w:ascii="Calibri" w:cs="Calibri" w:eastAsia="Calibri" w:hAnsi="Calibri"/>
          <w:sz w:val="22"/>
          <w:szCs w:val="22"/>
        </w:rPr>
        <w:t xml:space="preserve">Dispatch des alertes vers Slack et Telegram.</w:t>
      </w:r>
    </w:p>
    <w:p>
      <w:pPr>
        <w:pStyle w:val="Heading2"/>
        <w:spacing w:after="140" w:before="260"/>
      </w:pPr>
      <w:r>
        <w:rPr>
          <w:rFonts w:ascii="Calibri" w:cs="Calibri" w:eastAsia="Calibri" w:hAnsi="Calibri"/>
          <w:b/>
          <w:bCs/>
          <w:color w:val="2563EB"/>
          <w:sz w:val="24"/>
          <w:szCs w:val="24"/>
        </w:rPr>
        <w:t xml:space="preserve">11.2 Principe de circulation de l'information</w:t>
      </w:r>
    </w:p>
    <w:p>
      <w:pPr>
        <w:spacing w:after="60"/>
      </w:pPr>
      <w:r>
        <w:rPr>
          <w:rFonts w:ascii="Calibri" w:cs="Calibri" w:eastAsia="Calibri" w:hAnsi="Calibri"/>
          <w:b/>
          <w:bCs/>
          <w:color w:val="2563EB"/>
          <w:sz w:val="22"/>
          <w:szCs w:val="22"/>
        </w:rPr>
        <w:t xml:space="preserve">▸  </w:t>
      </w:r>
      <w:r>
        <w:rPr>
          <w:rFonts w:ascii="Calibri" w:cs="Calibri" w:eastAsia="Calibri" w:hAnsi="Calibri"/>
          <w:sz w:val="22"/>
          <w:szCs w:val="22"/>
        </w:rPr>
        <w:t xml:space="preserve">Frontend (simulateur / dashboard)</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2563EB"/>
          <w:sz w:val="22"/>
          <w:szCs w:val="22"/>
        </w:rPr>
        <w:t xml:space="preserve">▸  </w:t>
      </w:r>
      <w:r>
        <w:rPr>
          <w:rFonts w:ascii="Calibri" w:cs="Calibri" w:eastAsia="Calibri" w:hAnsi="Calibri"/>
          <w:sz w:val="22"/>
          <w:szCs w:val="22"/>
        </w:rPr>
        <w:t xml:space="preserve">API applicative</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2563EB"/>
          <w:sz w:val="22"/>
          <w:szCs w:val="22"/>
        </w:rPr>
        <w:t xml:space="preserve">▸  </w:t>
      </w:r>
      <w:r>
        <w:rPr>
          <w:rFonts w:ascii="Calibri" w:cs="Calibri" w:eastAsia="Calibri" w:hAnsi="Calibri"/>
          <w:sz w:val="22"/>
          <w:szCs w:val="22"/>
        </w:rPr>
        <w:t xml:space="preserve">Fusion AI (orchestration des workflows)</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2563EB"/>
          <w:sz w:val="22"/>
          <w:szCs w:val="22"/>
        </w:rPr>
        <w:t xml:space="preserve">▸  </w:t>
      </w:r>
      <w:r>
        <w:rPr>
          <w:rFonts w:ascii="Calibri" w:cs="Calibri" w:eastAsia="Calibri" w:hAnsi="Calibri"/>
          <w:sz w:val="22"/>
          <w:szCs w:val="22"/>
        </w:rPr>
        <w:t xml:space="preserve">PostgreSQL (persistance)</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2563EB"/>
          <w:sz w:val="22"/>
          <w:szCs w:val="22"/>
        </w:rPr>
        <w:t xml:space="preserve">▸  </w:t>
      </w:r>
      <w:r>
        <w:rPr>
          <w:rFonts w:ascii="Calibri" w:cs="Calibri" w:eastAsia="Calibri" w:hAnsi="Calibri"/>
          <w:sz w:val="22"/>
          <w:szCs w:val="22"/>
        </w:rPr>
        <w:t xml:space="preserve">L'API relit l'état persistant</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2563EB"/>
          <w:sz w:val="22"/>
          <w:szCs w:val="22"/>
        </w:rPr>
        <w:t xml:space="preserve">▸  </w:t>
      </w:r>
      <w:r>
        <w:rPr>
          <w:rFonts w:ascii="Calibri" w:cs="Calibri" w:eastAsia="Calibri" w:hAnsi="Calibri"/>
          <w:sz w:val="22"/>
          <w:szCs w:val="22"/>
        </w:rPr>
        <w:t xml:space="preserve">Interface mise à jour</w:t>
      </w:r>
    </w:p>
    <w:p>
      <w:pPr>
        <w:spacing w:after="240"/>
      </w:pPr>
      <w:r>
        <w:rPr>
          <w:rFonts w:ascii="Calibri" w:cs="Calibri" w:eastAsia="Calibri" w:hAnsi="Calibri"/>
          <w:i/>
          <w:iCs/>
          <w:color w:val="5B6B8C"/>
          <w:sz w:val="20"/>
          <w:szCs w:val="20"/>
        </w:rPr>
        <w:t xml:space="preserve">Ce principe évite de dépendre uniquement du texte retourné en direct par un workflow : l'interface affiche toujours ce qui est réellement persisté en base.</w:t>
      </w:r>
    </w:p>
    <w:p>
      <w:pPr>
        <w:pStyle w:val="Heading1"/>
        <w:pBdr>
          <w:bottom w:val="single" w:color="16215A" w:sz="8" w:space="4"/>
        </w:pBdr>
        <w:spacing w:after="200" w:before="400"/>
      </w:pPr>
      <w:r>
        <w:rPr>
          <w:rFonts w:ascii="Calibri" w:cs="Calibri" w:eastAsia="Calibri" w:hAnsi="Calibri"/>
          <w:b/>
          <w:bCs/>
          <w:color w:val="16215A"/>
          <w:sz w:val="30"/>
          <w:szCs w:val="30"/>
        </w:rPr>
        <w:t xml:space="preserve">12. Workflow 1 — Scoring et évaluation temps réel</w:t>
      </w:r>
    </w:p>
    <w:p>
      <w:pPr>
        <w:pStyle w:val="Heading2"/>
        <w:spacing w:after="140" w:before="260"/>
      </w:pPr>
      <w:r>
        <w:rPr>
          <w:rFonts w:ascii="Calibri" w:cs="Calibri" w:eastAsia="Calibri" w:hAnsi="Calibri"/>
          <w:b/>
          <w:bCs/>
          <w:color w:val="2563EB"/>
          <w:sz w:val="24"/>
          <w:szCs w:val="24"/>
        </w:rPr>
        <w:t xml:space="preserve">12.1 Objectif</w:t>
      </w:r>
    </w:p>
    <w:p>
      <w:pPr>
        <w:spacing w:after="160" w:line="276"/>
      </w:pPr>
      <w:r>
        <w:rPr>
          <w:rFonts w:ascii="Calibri" w:cs="Calibri" w:eastAsia="Calibri" w:hAnsi="Calibri"/>
          <w:sz w:val="22"/>
          <w:szCs w:val="22"/>
        </w:rPr>
        <w:t xml:space="preserve">Transformer une transaction brute en un score de risque explicable, en moins de 400 millisecondes, sans aucune intervention du LLM à ce stade.</w:t>
      </w:r>
    </w:p>
    <w:p>
      <w:pPr>
        <w:pStyle w:val="Heading2"/>
        <w:spacing w:after="140" w:before="260"/>
      </w:pPr>
      <w:r>
        <w:rPr>
          <w:rFonts w:ascii="Calibri" w:cs="Calibri" w:eastAsia="Calibri" w:hAnsi="Calibri"/>
          <w:b/>
          <w:bCs/>
          <w:color w:val="2563EB"/>
          <w:sz w:val="24"/>
          <w:szCs w:val="24"/>
        </w:rPr>
        <w:t xml:space="preserve">12.2 Entrée principale</w:t>
      </w:r>
    </w:p>
    <w:p>
      <w:pPr>
        <w:shd w:fill="F1F4FC" w:val="clear"/>
        <w:spacing w:after="0" w:before="80"/>
      </w:pPr>
      <w:r>
        <w:rPr>
          <w:rFonts w:ascii="Consolas" w:cs="Consolas" w:eastAsia="Consolas" w:hAnsi="Consolas"/>
          <w:sz w:val="20"/>
          <w:szCs w:val="20"/>
        </w:rPr>
        <w:t xml:space="preserve">{</w:t>
      </w:r>
    </w:p>
    <w:p>
      <w:pPr>
        <w:shd w:fill="F1F4FC" w:val="clear"/>
        <w:spacing w:after="0" w:before="0"/>
      </w:pPr>
      <w:r>
        <w:rPr>
          <w:rFonts w:ascii="Consolas" w:cs="Consolas" w:eastAsia="Consolas" w:hAnsi="Consolas"/>
          <w:sz w:val="20"/>
          <w:szCs w:val="20"/>
        </w:rPr>
        <w:t xml:space="preserve">  "transaction_id": "TXN-2026-004521",</w:t>
      </w:r>
    </w:p>
    <w:p>
      <w:pPr>
        <w:shd w:fill="F1F4FC" w:val="clear"/>
        <w:spacing w:after="0" w:before="0"/>
      </w:pPr>
      <w:r>
        <w:rPr>
          <w:rFonts w:ascii="Consolas" w:cs="Consolas" w:eastAsia="Consolas" w:hAnsi="Consolas"/>
          <w:sz w:val="20"/>
          <w:szCs w:val="20"/>
        </w:rPr>
        <w:t xml:space="preserve">  "customer_id": 20,</w:t>
      </w:r>
    </w:p>
    <w:p>
      <w:pPr>
        <w:shd w:fill="F1F4FC" w:val="clear"/>
        <w:spacing w:after="0" w:before="0"/>
      </w:pPr>
      <w:r>
        <w:rPr>
          <w:rFonts w:ascii="Consolas" w:cs="Consolas" w:eastAsia="Consolas" w:hAnsi="Consolas"/>
          <w:sz w:val="20"/>
          <w:szCs w:val="20"/>
        </w:rPr>
        <w:t xml:space="preserve">  "trigger_type": "REALTIME",</w:t>
      </w:r>
    </w:p>
    <w:p>
      <w:pPr>
        <w:shd w:fill="F1F4FC" w:val="clear"/>
        <w:spacing w:after="0" w:before="0"/>
      </w:pPr>
      <w:r>
        <w:rPr>
          <w:rFonts w:ascii="Consolas" w:cs="Consolas" w:eastAsia="Consolas" w:hAnsi="Consolas"/>
          <w:sz w:val="20"/>
          <w:szCs w:val="20"/>
        </w:rPr>
        <w:t xml:space="preserve">  "channel": "WEB"</w:t>
      </w:r>
    </w:p>
    <w:p>
      <w:pPr>
        <w:shd w:fill="F1F4FC" w:val="clear"/>
        <w:spacing w:after="160" w:before="0"/>
      </w:pPr>
      <w:r>
        <w:rPr>
          <w:rFonts w:ascii="Consolas" w:cs="Consolas" w:eastAsia="Consolas" w:hAnsi="Consolas"/>
          <w:sz w:val="20"/>
          <w:szCs w:val="20"/>
        </w:rPr>
        <w:t xml:space="preserve">}</w:t>
      </w:r>
    </w:p>
    <w:p>
      <w:pPr>
        <w:spacing w:after="160" w:line="276"/>
      </w:pPr>
      <w:r>
        <w:rPr>
          <w:rFonts w:ascii="Calibri" w:cs="Calibri" w:eastAsia="Calibri" w:hAnsi="Calibri"/>
          <w:sz w:val="22"/>
          <w:szCs w:val="22"/>
        </w:rPr>
        <w:t xml:space="preserve">Les valeurs admises pour trigger_type sont : REALTIME, MANUAL, SIMULATED.</w:t>
      </w:r>
    </w:p>
    <w:p>
      <w:pPr>
        <w:pStyle w:val="Heading2"/>
        <w:spacing w:after="140" w:before="260"/>
      </w:pPr>
      <w:r>
        <w:rPr>
          <w:rFonts w:ascii="Calibri" w:cs="Calibri" w:eastAsia="Calibri" w:hAnsi="Calibri"/>
          <w:b/>
          <w:bCs/>
          <w:color w:val="2563EB"/>
          <w:sz w:val="24"/>
          <w:szCs w:val="24"/>
        </w:rPr>
        <w:t xml:space="preserve">12.3 Sortie de succès</w:t>
      </w:r>
    </w:p>
    <w:p>
      <w:pPr>
        <w:shd w:fill="F1F4FC" w:val="clear"/>
        <w:spacing w:after="0" w:before="80"/>
      </w:pPr>
      <w:r>
        <w:rPr>
          <w:rFonts w:ascii="Consolas" w:cs="Consolas" w:eastAsia="Consolas" w:hAnsi="Consolas"/>
          <w:sz w:val="20"/>
          <w:szCs w:val="20"/>
        </w:rPr>
        <w:t xml:space="preserve">{</w:t>
      </w:r>
    </w:p>
    <w:p>
      <w:pPr>
        <w:shd w:fill="F1F4FC" w:val="clear"/>
        <w:spacing w:after="0" w:before="0"/>
      </w:pPr>
      <w:r>
        <w:rPr>
          <w:rFonts w:ascii="Consolas" w:cs="Consolas" w:eastAsia="Consolas" w:hAnsi="Consolas"/>
          <w:sz w:val="20"/>
          <w:szCs w:val="20"/>
        </w:rPr>
        <w:t xml:space="preserve">  "success": true,</w:t>
      </w:r>
    </w:p>
    <w:p>
      <w:pPr>
        <w:shd w:fill="F1F4FC" w:val="clear"/>
        <w:spacing w:after="0" w:before="0"/>
      </w:pPr>
      <w:r>
        <w:rPr>
          <w:rFonts w:ascii="Consolas" w:cs="Consolas" w:eastAsia="Consolas" w:hAnsi="Consolas"/>
          <w:sz w:val="20"/>
          <w:szCs w:val="20"/>
        </w:rPr>
        <w:t xml:space="preserve">  "transaction_id": "TXN-2026-004521",</w:t>
      </w:r>
    </w:p>
    <w:p>
      <w:pPr>
        <w:shd w:fill="F1F4FC" w:val="clear"/>
        <w:spacing w:after="0" w:before="0"/>
      </w:pPr>
      <w:r>
        <w:rPr>
          <w:rFonts w:ascii="Consolas" w:cs="Consolas" w:eastAsia="Consolas" w:hAnsi="Consolas"/>
          <w:sz w:val="20"/>
          <w:szCs w:val="20"/>
        </w:rPr>
        <w:t xml:space="preserve">  "score": 88,</w:t>
      </w:r>
    </w:p>
    <w:p>
      <w:pPr>
        <w:shd w:fill="F1F4FC" w:val="clear"/>
        <w:spacing w:after="0" w:before="0"/>
      </w:pPr>
      <w:r>
        <w:rPr>
          <w:rFonts w:ascii="Consolas" w:cs="Consolas" w:eastAsia="Consolas" w:hAnsi="Consolas"/>
          <w:sz w:val="20"/>
          <w:szCs w:val="20"/>
        </w:rPr>
        <w:t xml:space="preserve">  "risk_level": "CRITICAL",</w:t>
      </w:r>
    </w:p>
    <w:p>
      <w:pPr>
        <w:shd w:fill="F1F4FC" w:val="clear"/>
        <w:spacing w:after="0" w:before="0"/>
      </w:pPr>
      <w:r>
        <w:rPr>
          <w:rFonts w:ascii="Consolas" w:cs="Consolas" w:eastAsia="Consolas" w:hAnsi="Consolas"/>
          <w:sz w:val="20"/>
          <w:szCs w:val="20"/>
        </w:rPr>
        <w:t xml:space="preserve">  "decision": "BLOCK_AND_ALERT"</w:t>
      </w:r>
    </w:p>
    <w:p>
      <w:pPr>
        <w:shd w:fill="F1F4FC" w:val="clear"/>
        <w:spacing w:after="160" w:before="0"/>
      </w:pPr>
      <w:r>
        <w:rPr>
          <w:rFonts w:ascii="Consolas" w:cs="Consolas" w:eastAsia="Consolas" w:hAnsi="Consolas"/>
          <w:sz w:val="20"/>
          <w:szCs w:val="20"/>
        </w:rPr>
        <w:t xml:space="preserve">}</w:t>
      </w:r>
    </w:p>
    <w:p>
      <w:pPr>
        <w:pStyle w:val="Heading2"/>
        <w:spacing w:after="140" w:before="260"/>
      </w:pPr>
      <w:r>
        <w:rPr>
          <w:rFonts w:ascii="Calibri" w:cs="Calibri" w:eastAsia="Calibri" w:hAnsi="Calibri"/>
          <w:b/>
          <w:bCs/>
          <w:color w:val="2563EB"/>
          <w:sz w:val="24"/>
          <w:szCs w:val="24"/>
        </w:rPr>
        <w:t xml:space="preserve">12.4 Indicateurs calculés</w:t>
      </w:r>
    </w:p>
    <w:p>
      <w:pPr>
        <w:pStyle w:val="ListParagraph"/>
        <w:numPr>
          <w:ilvl w:val="0"/>
          <w:numId w:val="1"/>
        </w:numPr>
        <w:spacing w:after="80" w:line="264"/>
      </w:pPr>
      <w:r>
        <w:rPr>
          <w:rFonts w:ascii="Calibri" w:cs="Calibri" w:eastAsia="Calibri" w:hAnsi="Calibri"/>
          <w:sz w:val="22"/>
          <w:szCs w:val="22"/>
        </w:rPr>
        <w:t xml:space="preserve">Vitesse de déplacement géographique (formule de Haversine)</w:t>
      </w:r>
    </w:p>
    <w:p>
      <w:pPr>
        <w:pStyle w:val="ListParagraph"/>
        <w:numPr>
          <w:ilvl w:val="0"/>
          <w:numId w:val="1"/>
        </w:numPr>
        <w:spacing w:after="80" w:line="264"/>
      </w:pPr>
      <w:r>
        <w:rPr>
          <w:rFonts w:ascii="Calibri" w:cs="Calibri" w:eastAsia="Calibri" w:hAnsi="Calibri"/>
          <w:sz w:val="22"/>
          <w:szCs w:val="22"/>
        </w:rPr>
        <w:t xml:space="preserve">Montant comparé à la moyenne historique du client</w:t>
      </w:r>
    </w:p>
    <w:p>
      <w:pPr>
        <w:pStyle w:val="ListParagraph"/>
        <w:numPr>
          <w:ilvl w:val="0"/>
          <w:numId w:val="1"/>
        </w:numPr>
        <w:spacing w:after="80" w:line="264"/>
      </w:pPr>
      <w:r>
        <w:rPr>
          <w:rFonts w:ascii="Calibri" w:cs="Calibri" w:eastAsia="Calibri" w:hAnsi="Calibri"/>
          <w:sz w:val="22"/>
          <w:szCs w:val="22"/>
        </w:rPr>
        <w:t xml:space="preserve">Pays ou appareil non reconnu</w:t>
      </w:r>
    </w:p>
    <w:p>
      <w:pPr>
        <w:pStyle w:val="ListParagraph"/>
        <w:numPr>
          <w:ilvl w:val="0"/>
          <w:numId w:val="1"/>
        </w:numPr>
        <w:spacing w:after="80" w:line="264"/>
      </w:pPr>
      <w:r>
        <w:rPr>
          <w:rFonts w:ascii="Calibri" w:cs="Calibri" w:eastAsia="Calibri" w:hAnsi="Calibri"/>
          <w:sz w:val="22"/>
          <w:szCs w:val="22"/>
        </w:rPr>
        <w:t xml:space="preserve">Horaire de la transaction (créneau à risque)</w:t>
      </w:r>
    </w:p>
    <w:p>
      <w:pPr>
        <w:pStyle w:val="ListParagraph"/>
        <w:numPr>
          <w:ilvl w:val="0"/>
          <w:numId w:val="1"/>
        </w:numPr>
        <w:spacing w:after="80" w:line="264"/>
      </w:pPr>
      <w:r>
        <w:rPr>
          <w:rFonts w:ascii="Calibri" w:cs="Calibri" w:eastAsia="Calibri" w:hAnsi="Calibri"/>
          <w:sz w:val="22"/>
          <w:szCs w:val="22"/>
        </w:rPr>
        <w:t xml:space="preserve">Vélocité (nombre de transactions sur une courte période)</w:t>
      </w:r>
    </w:p>
    <w:p>
      <w:pPr>
        <w:pStyle w:val="ListParagraph"/>
        <w:numPr>
          <w:ilvl w:val="0"/>
          <w:numId w:val="1"/>
        </w:numPr>
        <w:spacing w:after="80" w:line="264"/>
      </w:pPr>
      <w:r>
        <w:rPr>
          <w:rFonts w:ascii="Calibri" w:cs="Calibri" w:eastAsia="Calibri" w:hAnsi="Calibri"/>
          <w:sz w:val="22"/>
          <w:szCs w:val="22"/>
        </w:rPr>
        <w:t xml:space="preserve">Dépassement de plafond habituel</w:t>
      </w:r>
    </w:p>
    <w:p>
      <w:pPr>
        <w:pStyle w:val="ListParagraph"/>
        <w:numPr>
          <w:ilvl w:val="0"/>
          <w:numId w:val="1"/>
        </w:numPr>
        <w:spacing w:after="80" w:line="264"/>
      </w:pPr>
      <w:r>
        <w:rPr>
          <w:rFonts w:ascii="Calibri" w:cs="Calibri" w:eastAsia="Calibri" w:hAnsi="Calibri"/>
          <w:sz w:val="22"/>
          <w:szCs w:val="22"/>
        </w:rPr>
        <w:t xml:space="preserve">Changement de canal inhabituel</w:t>
      </w:r>
    </w:p>
    <w:p>
      <w:pPr>
        <w:pStyle w:val="ListParagraph"/>
        <w:numPr>
          <w:ilvl w:val="0"/>
          <w:numId w:val="1"/>
        </w:numPr>
        <w:spacing w:after="80" w:line="264"/>
      </w:pPr>
      <w:r>
        <w:rPr>
          <w:rFonts w:ascii="Calibri" w:cs="Calibri" w:eastAsia="Calibri" w:hAnsi="Calibri"/>
          <w:sz w:val="22"/>
          <w:szCs w:val="22"/>
        </w:rPr>
        <w:t xml:space="preserve">Catégorie marchand à risque</w:t>
      </w:r>
    </w:p>
    <w:p>
      <w:pPr>
        <w:pStyle w:val="ListParagraph"/>
        <w:numPr>
          <w:ilvl w:val="0"/>
          <w:numId w:val="1"/>
        </w:numPr>
        <w:spacing w:after="80" w:line="264"/>
      </w:pPr>
      <w:r>
        <w:rPr>
          <w:rFonts w:ascii="Calibri" w:cs="Calibri" w:eastAsia="Calibri" w:hAnsi="Calibri"/>
          <w:sz w:val="22"/>
          <w:szCs w:val="22"/>
        </w:rPr>
        <w:t xml:space="preserve">Bénéficiaire nouveau ou déjà enregistré comme tiers de confiance</w:t>
      </w:r>
    </w:p>
    <w:p>
      <w:pPr>
        <w:pStyle w:val="ListParagraph"/>
        <w:numPr>
          <w:ilvl w:val="0"/>
          <w:numId w:val="1"/>
        </w:numPr>
        <w:spacing w:after="80" w:line="264"/>
      </w:pPr>
      <w:r>
        <w:rPr>
          <w:rFonts w:ascii="Calibri" w:cs="Calibri" w:eastAsia="Calibri" w:hAnsi="Calibri"/>
          <w:sz w:val="22"/>
          <w:szCs w:val="22"/>
        </w:rPr>
        <w:t xml:space="preserve">Authentification par carte à puce et code PIN</w:t>
      </w:r>
    </w:p>
    <w:p>
      <w:pPr>
        <w:pStyle w:val="Heading2"/>
        <w:spacing w:after="140" w:before="260"/>
      </w:pPr>
      <w:r>
        <w:rPr>
          <w:rFonts w:ascii="Calibri" w:cs="Calibri" w:eastAsia="Calibri" w:hAnsi="Calibri"/>
          <w:b/>
          <w:bCs/>
          <w:color w:val="2563EB"/>
          <w:sz w:val="24"/>
          <w:szCs w:val="24"/>
        </w:rPr>
        <w:t xml:space="preserve">12.5 Règles de vigilance</w:t>
      </w:r>
    </w:p>
    <w:p>
      <w:pPr>
        <w:spacing w:after="160" w:line="276"/>
      </w:pPr>
      <w:r>
        <w:rPr>
          <w:rFonts w:ascii="Calibri" w:cs="Calibri" w:eastAsia="Calibri" w:hAnsi="Calibri"/>
          <w:b/>
          <w:bCs/>
          <w:sz w:val="22"/>
          <w:szCs w:val="22"/>
        </w:rPr>
        <w:t xml:space="preserve">Facteurs de risque :</w:t>
      </w:r>
    </w:p>
    <w:p>
      <w:pPr>
        <w:pStyle w:val="ListParagraph"/>
        <w:numPr>
          <w:ilvl w:val="0"/>
          <w:numId w:val="1"/>
        </w:numPr>
        <w:spacing w:after="80" w:line="264"/>
      </w:pPr>
      <w:r>
        <w:rPr>
          <w:rFonts w:ascii="Calibri" w:cs="Calibri" w:eastAsia="Calibri" w:hAnsi="Calibri"/>
          <w:color w:val="B3261E"/>
          <w:sz w:val="22"/>
          <w:szCs w:val="22"/>
        </w:rPr>
        <w:t xml:space="preserve">MONTANT_EXTREME</w:t>
      </w:r>
    </w:p>
    <w:p>
      <w:pPr>
        <w:pStyle w:val="ListParagraph"/>
        <w:numPr>
          <w:ilvl w:val="0"/>
          <w:numId w:val="1"/>
        </w:numPr>
        <w:spacing w:after="80" w:line="264"/>
      </w:pPr>
      <w:r>
        <w:rPr>
          <w:rFonts w:ascii="Calibri" w:cs="Calibri" w:eastAsia="Calibri" w:hAnsi="Calibri"/>
          <w:color w:val="B3261E"/>
          <w:sz w:val="22"/>
          <w:szCs w:val="22"/>
        </w:rPr>
        <w:t xml:space="preserve">VOYAGE_IMPOSSIBLE</w:t>
      </w:r>
    </w:p>
    <w:p>
      <w:pPr>
        <w:pStyle w:val="ListParagraph"/>
        <w:numPr>
          <w:ilvl w:val="0"/>
          <w:numId w:val="1"/>
        </w:numPr>
        <w:spacing w:after="80" w:line="264"/>
      </w:pPr>
      <w:r>
        <w:rPr>
          <w:rFonts w:ascii="Calibri" w:cs="Calibri" w:eastAsia="Calibri" w:hAnsi="Calibri"/>
          <w:color w:val="B3261E"/>
          <w:sz w:val="22"/>
          <w:szCs w:val="22"/>
        </w:rPr>
        <w:t xml:space="preserve">PAYS_ETRANGER_INCONNU</w:t>
      </w:r>
    </w:p>
    <w:p>
      <w:pPr>
        <w:pStyle w:val="ListParagraph"/>
        <w:numPr>
          <w:ilvl w:val="0"/>
          <w:numId w:val="1"/>
        </w:numPr>
        <w:spacing w:after="80" w:line="264"/>
      </w:pPr>
      <w:r>
        <w:rPr>
          <w:rFonts w:ascii="Calibri" w:cs="Calibri" w:eastAsia="Calibri" w:hAnsi="Calibri"/>
          <w:color w:val="B3261E"/>
          <w:sz w:val="22"/>
          <w:szCs w:val="22"/>
        </w:rPr>
        <w:t xml:space="preserve">HORAIRE_NOCTURNE</w:t>
      </w:r>
    </w:p>
    <w:p>
      <w:pPr>
        <w:pStyle w:val="ListParagraph"/>
        <w:numPr>
          <w:ilvl w:val="0"/>
          <w:numId w:val="1"/>
        </w:numPr>
        <w:spacing w:after="80" w:line="264"/>
      </w:pPr>
      <w:r>
        <w:rPr>
          <w:rFonts w:ascii="Calibri" w:cs="Calibri" w:eastAsia="Calibri" w:hAnsi="Calibri"/>
          <w:color w:val="B3261E"/>
          <w:sz w:val="22"/>
          <w:szCs w:val="22"/>
        </w:rPr>
        <w:t xml:space="preserve">VELOCITE_ANORMALE</w:t>
      </w:r>
    </w:p>
    <w:p>
      <w:pPr>
        <w:pStyle w:val="ListParagraph"/>
        <w:numPr>
          <w:ilvl w:val="0"/>
          <w:numId w:val="1"/>
        </w:numPr>
        <w:spacing w:after="80" w:line="264"/>
      </w:pPr>
      <w:r>
        <w:rPr>
          <w:rFonts w:ascii="Calibri" w:cs="Calibri" w:eastAsia="Calibri" w:hAnsi="Calibri"/>
          <w:color w:val="B3261E"/>
          <w:sz w:val="22"/>
          <w:szCs w:val="22"/>
        </w:rPr>
        <w:t xml:space="preserve">NOUVEAU_BENEFICIAIRE</w:t>
      </w:r>
    </w:p>
    <w:p>
      <w:pPr>
        <w:pStyle w:val="ListParagraph"/>
        <w:numPr>
          <w:ilvl w:val="0"/>
          <w:numId w:val="1"/>
        </w:numPr>
        <w:spacing w:after="80" w:line="264"/>
      </w:pPr>
      <w:r>
        <w:rPr>
          <w:rFonts w:ascii="Calibri" w:cs="Calibri" w:eastAsia="Calibri" w:hAnsi="Calibri"/>
          <w:color w:val="B3261E"/>
          <w:sz w:val="22"/>
          <w:szCs w:val="22"/>
        </w:rPr>
        <w:t xml:space="preserve">DEPASSEMENT_PLAFOND</w:t>
      </w:r>
    </w:p>
    <w:p>
      <w:pPr>
        <w:pStyle w:val="ListParagraph"/>
        <w:numPr>
          <w:ilvl w:val="0"/>
          <w:numId w:val="1"/>
        </w:numPr>
        <w:spacing w:after="80" w:line="264"/>
      </w:pPr>
      <w:r>
        <w:rPr>
          <w:rFonts w:ascii="Calibri" w:cs="Calibri" w:eastAsia="Calibri" w:hAnsi="Calibri"/>
          <w:color w:val="B3261E"/>
          <w:sz w:val="22"/>
          <w:szCs w:val="22"/>
        </w:rPr>
        <w:t xml:space="preserve">CHANGEMENT_CANAL</w:t>
      </w:r>
    </w:p>
    <w:p>
      <w:pPr>
        <w:pStyle w:val="ListParagraph"/>
        <w:numPr>
          <w:ilvl w:val="0"/>
          <w:numId w:val="1"/>
        </w:numPr>
        <w:spacing w:after="80" w:line="264"/>
      </w:pPr>
      <w:r>
        <w:rPr>
          <w:rFonts w:ascii="Calibri" w:cs="Calibri" w:eastAsia="Calibri" w:hAnsi="Calibri"/>
          <w:color w:val="B3261E"/>
          <w:sz w:val="22"/>
          <w:szCs w:val="22"/>
        </w:rPr>
        <w:t xml:space="preserve">MARCHAND_A_RISQUE</w:t>
      </w:r>
    </w:p>
    <w:p>
      <w:pPr>
        <w:spacing w:after="160" w:line="276"/>
      </w:pPr>
      <w:r>
        <w:rPr>
          <w:rFonts w:ascii="Calibri" w:cs="Calibri" w:eastAsia="Calibri" w:hAnsi="Calibri"/>
          <w:b/>
          <w:bCs/>
          <w:sz w:val="22"/>
          <w:szCs w:val="22"/>
        </w:rPr>
        <w:t xml:space="preserve">Facteurs d'atténuation :</w:t>
      </w:r>
    </w:p>
    <w:p>
      <w:pPr>
        <w:pStyle w:val="ListParagraph"/>
        <w:numPr>
          <w:ilvl w:val="0"/>
          <w:numId w:val="1"/>
        </w:numPr>
        <w:spacing w:after="80" w:line="264"/>
      </w:pPr>
      <w:r>
        <w:rPr>
          <w:rFonts w:ascii="Calibri" w:cs="Calibri" w:eastAsia="Calibri" w:hAnsi="Calibri"/>
          <w:color w:val="0E8074"/>
          <w:sz w:val="22"/>
          <w:szCs w:val="22"/>
        </w:rPr>
        <w:t xml:space="preserve">TPE_CARTE_PIN</w:t>
      </w:r>
    </w:p>
    <w:p>
      <w:pPr>
        <w:pStyle w:val="ListParagraph"/>
        <w:numPr>
          <w:ilvl w:val="0"/>
          <w:numId w:val="1"/>
        </w:numPr>
        <w:spacing w:after="80" w:line="264"/>
      </w:pPr>
      <w:r>
        <w:rPr>
          <w:rFonts w:ascii="Calibri" w:cs="Calibri" w:eastAsia="Calibri" w:hAnsi="Calibri"/>
          <w:color w:val="0E8074"/>
          <w:sz w:val="22"/>
          <w:szCs w:val="22"/>
        </w:rPr>
        <w:t xml:space="preserve">TIERS_DE_CONFIANCE</w:t>
      </w:r>
    </w:p>
    <w:p>
      <w:pPr>
        <w:spacing w:after="160" w:line="276"/>
      </w:pPr>
      <w:r>
        <w:rPr>
          <w:rFonts w:ascii="Calibri" w:cs="Calibri" w:eastAsia="Calibri" w:hAnsi="Calibri"/>
          <w:sz w:val="22"/>
          <w:szCs w:val="22"/>
        </w:rPr>
        <w:t xml:space="preserve">Le score est calculé par règles déterministes avant tout passage au LLM. Le LLM ne recalcule jamais le score, le niveau de risque ni la décision.</w:t>
      </w:r>
    </w:p>
    <w:p>
      <w:pPr>
        <w:pStyle w:val="Heading2"/>
        <w:spacing w:after="140" w:before="260"/>
      </w:pPr>
      <w:r>
        <w:rPr>
          <w:rFonts w:ascii="Calibri" w:cs="Calibri" w:eastAsia="Calibri" w:hAnsi="Calibri"/>
          <w:b/>
          <w:bCs/>
          <w:color w:val="2563EB"/>
          <w:sz w:val="24"/>
          <w:szCs w:val="24"/>
        </w:rPr>
        <w:t xml:space="preserve">12.6 Classification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rPr>
          <w:tblHeader/>
        </w:trPr>
        <w:tc>
          <w:tcPr>
            <w:tcW w:type="dxa" w:w="34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Score</w:t>
            </w:r>
          </w:p>
        </w:tc>
        <w:tc>
          <w:tcPr>
            <w:tcW w:type="dxa" w:w="34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Niveau</w:t>
            </w:r>
          </w:p>
        </w:tc>
        <w:tc>
          <w:tcPr>
            <w:tcW w:type="dxa" w:w="34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Décision</w:t>
            </w:r>
          </w:p>
        </w:tc>
      </w:tr>
      <w:tr>
        <w:tc>
          <w:tcPr>
            <w:tcW w:type="dxa" w:w="34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 – 30</w:t>
            </w:r>
          </w:p>
        </w:tc>
        <w:tc>
          <w:tcPr>
            <w:tcW w:type="dxa" w:w="34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LOW</w:t>
            </w:r>
          </w:p>
        </w:tc>
        <w:tc>
          <w:tcPr>
            <w:tcW w:type="dxa" w:w="34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APPROUVER</w:t>
            </w:r>
          </w:p>
        </w:tc>
      </w:tr>
      <w:tr>
        <w:tc>
          <w:tcPr>
            <w:tcW w:type="dxa" w:w="34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31 – 70</w:t>
            </w:r>
          </w:p>
        </w:tc>
        <w:tc>
          <w:tcPr>
            <w:tcW w:type="dxa" w:w="34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MEDIUM</w:t>
            </w:r>
          </w:p>
        </w:tc>
        <w:tc>
          <w:tcPr>
            <w:tcW w:type="dxa" w:w="34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CHALLENGE 2FA</w:t>
            </w:r>
          </w:p>
        </w:tc>
      </w:tr>
      <w:tr>
        <w:tc>
          <w:tcPr>
            <w:tcW w:type="dxa" w:w="34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71 – 100</w:t>
            </w:r>
          </w:p>
        </w:tc>
        <w:tc>
          <w:tcPr>
            <w:tcW w:type="dxa" w:w="34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HIGH / CRITICAL</w:t>
            </w:r>
          </w:p>
        </w:tc>
        <w:tc>
          <w:tcPr>
            <w:tcW w:type="dxa" w:w="34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BLOQUER &amp; ALERTER</w:t>
            </w:r>
          </w:p>
        </w:tc>
      </w:tr>
    </w:tbl>
    <w:p>
      <w:pPr>
        <w:spacing w:after="240"/>
      </w:pPr>
      <w:r>
        <w:rPr>
          <w:rFonts w:ascii="Calibri" w:cs="Calibri" w:eastAsia="Calibri" w:hAnsi="Calibri"/>
          <w:i/>
          <w:iCs/>
          <w:color w:val="5B6B8C"/>
          <w:sz w:val="20"/>
          <w:szCs w:val="20"/>
        </w:rPr>
        <w:t xml:space="preserve">Le niveau de risque représente un niveau de vigilance, non une preuve de fraude.</w:t>
      </w:r>
    </w:p>
    <w:p>
      <w:pPr>
        <w:pStyle w:val="Heading1"/>
        <w:pBdr>
          <w:bottom w:val="single" w:color="16215A" w:sz="8" w:space="4"/>
        </w:pBdr>
        <w:spacing w:after="200" w:before="400"/>
      </w:pPr>
      <w:r>
        <w:rPr>
          <w:rFonts w:ascii="Calibri" w:cs="Calibri" w:eastAsia="Calibri" w:hAnsi="Calibri"/>
          <w:b/>
          <w:bCs/>
          <w:color w:val="16215A"/>
          <w:sz w:val="30"/>
          <w:szCs w:val="30"/>
        </w:rPr>
        <w:t xml:space="preserve">13. Workflow 2 — Agent IA (diagnostic explicatif)</w:t>
      </w:r>
    </w:p>
    <w:p>
      <w:pPr>
        <w:pStyle w:val="Heading2"/>
        <w:spacing w:after="140" w:before="260"/>
      </w:pPr>
      <w:r>
        <w:rPr>
          <w:rFonts w:ascii="Calibri" w:cs="Calibri" w:eastAsia="Calibri" w:hAnsi="Calibri"/>
          <w:b/>
          <w:bCs/>
          <w:color w:val="2563EB"/>
          <w:sz w:val="24"/>
          <w:szCs w:val="24"/>
        </w:rPr>
        <w:t xml:space="preserve">13.1 Objectif</w:t>
      </w:r>
    </w:p>
    <w:p>
      <w:pPr>
        <w:spacing w:after="160" w:line="276"/>
      </w:pPr>
      <w:r>
        <w:rPr>
          <w:rFonts w:ascii="Calibri" w:cs="Calibri" w:eastAsia="Calibri" w:hAnsi="Calibri"/>
          <w:sz w:val="22"/>
          <w:szCs w:val="22"/>
        </w:rPr>
        <w:t xml:space="preserve">Dès qu'un score atteint le seuil de 66, produire une synthèse factuelle courte expliquant les signaux observés, en français, à destination de l'analyste sécurité.</w:t>
      </w:r>
    </w:p>
    <w:p>
      <w:pPr>
        <w:pStyle w:val="Heading2"/>
        <w:spacing w:after="140" w:before="260"/>
      </w:pPr>
      <w:r>
        <w:rPr>
          <w:rFonts w:ascii="Calibri" w:cs="Calibri" w:eastAsia="Calibri" w:hAnsi="Calibri"/>
          <w:b/>
          <w:bCs/>
          <w:color w:val="2563EB"/>
          <w:sz w:val="24"/>
          <w:szCs w:val="24"/>
        </w:rPr>
        <w:t xml:space="preserve">13.2 Contexte transmis au LLM</w:t>
      </w:r>
    </w:p>
    <w:p>
      <w:pPr>
        <w:spacing w:after="160" w:line="276"/>
      </w:pPr>
      <w:r>
        <w:rPr>
          <w:rFonts w:ascii="Calibri" w:cs="Calibri" w:eastAsia="Calibri" w:hAnsi="Calibri"/>
          <w:sz w:val="22"/>
          <w:szCs w:val="22"/>
        </w:rPr>
        <w:t xml:space="preserve">Pour limiter le coût, la taille des requêtes et le risque d'hallucination, le contexte est compacté :</w:t>
      </w:r>
    </w:p>
    <w:p>
      <w:pPr>
        <w:pStyle w:val="ListParagraph"/>
        <w:numPr>
          <w:ilvl w:val="0"/>
          <w:numId w:val="1"/>
        </w:numPr>
        <w:spacing w:after="80" w:line="264"/>
      </w:pPr>
      <w:r>
        <w:rPr>
          <w:rFonts w:ascii="Calibri" w:cs="Calibri" w:eastAsia="Calibri" w:hAnsi="Calibri"/>
          <w:sz w:val="22"/>
          <w:szCs w:val="22"/>
        </w:rPr>
        <w:t xml:space="preserve">Score et niveau de risque déjà calculés</w:t>
      </w:r>
    </w:p>
    <w:p>
      <w:pPr>
        <w:pStyle w:val="ListParagraph"/>
        <w:numPr>
          <w:ilvl w:val="0"/>
          <w:numId w:val="1"/>
        </w:numPr>
        <w:spacing w:after="80" w:line="264"/>
      </w:pPr>
      <w:r>
        <w:rPr>
          <w:rFonts w:ascii="Calibri" w:cs="Calibri" w:eastAsia="Calibri" w:hAnsi="Calibri"/>
          <w:sz w:val="22"/>
          <w:szCs w:val="22"/>
        </w:rPr>
        <w:t xml:space="preserve">Règles déclenchées lors du scoring</w:t>
      </w:r>
    </w:p>
    <w:p>
      <w:pPr>
        <w:pStyle w:val="ListParagraph"/>
        <w:numPr>
          <w:ilvl w:val="0"/>
          <w:numId w:val="1"/>
        </w:numPr>
        <w:spacing w:after="80" w:line="264"/>
      </w:pPr>
      <w:r>
        <w:rPr>
          <w:rFonts w:ascii="Calibri" w:cs="Calibri" w:eastAsia="Calibri" w:hAnsi="Calibri"/>
          <w:sz w:val="22"/>
          <w:szCs w:val="22"/>
        </w:rPr>
        <w:t xml:space="preserve">Historique compact du client (dernières transactions pertinentes)</w:t>
      </w:r>
    </w:p>
    <w:p>
      <w:pPr>
        <w:pStyle w:val="ListParagraph"/>
        <w:numPr>
          <w:ilvl w:val="0"/>
          <w:numId w:val="1"/>
        </w:numPr>
        <w:spacing w:after="80" w:line="264"/>
      </w:pPr>
      <w:r>
        <w:rPr>
          <w:rFonts w:ascii="Calibri" w:cs="Calibri" w:eastAsia="Calibri" w:hAnsi="Calibri"/>
          <w:sz w:val="22"/>
          <w:szCs w:val="22"/>
        </w:rPr>
        <w:t xml:space="preserve">Aucune donnée d'identité superflue (RIB partiel uniquement)</w:t>
      </w:r>
    </w:p>
    <w:p>
      <w:pPr>
        <w:pStyle w:val="Heading2"/>
        <w:spacing w:after="140" w:before="260"/>
      </w:pPr>
      <w:r>
        <w:rPr>
          <w:rFonts w:ascii="Calibri" w:cs="Calibri" w:eastAsia="Calibri" w:hAnsi="Calibri"/>
          <w:b/>
          <w:bCs/>
          <w:color w:val="2563EB"/>
          <w:sz w:val="24"/>
          <w:szCs w:val="24"/>
        </w:rPr>
        <w:t xml:space="preserve">13.3 Sortie structurée</w:t>
      </w:r>
    </w:p>
    <w:p>
      <w:pPr>
        <w:shd w:fill="F1F4FC" w:val="clear"/>
        <w:spacing w:after="0" w:before="80"/>
      </w:pPr>
      <w:r>
        <w:rPr>
          <w:rFonts w:ascii="Consolas" w:cs="Consolas" w:eastAsia="Consolas" w:hAnsi="Consolas"/>
          <w:sz w:val="20"/>
          <w:szCs w:val="20"/>
        </w:rPr>
        <w:t xml:space="preserve">{</w:t>
      </w:r>
    </w:p>
    <w:p>
      <w:pPr>
        <w:shd w:fill="F1F4FC" w:val="clear"/>
        <w:spacing w:after="0" w:before="0"/>
      </w:pPr>
      <w:r>
        <w:rPr>
          <w:rFonts w:ascii="Consolas" w:cs="Consolas" w:eastAsia="Consolas" w:hAnsi="Consolas"/>
          <w:sz w:val="20"/>
          <w:szCs w:val="20"/>
        </w:rPr>
        <w:t xml:space="preserve">  "raisons": ["Vitesse de déplacement impossible", "Montant hors norme"],</w:t>
      </w:r>
    </w:p>
    <w:p>
      <w:pPr>
        <w:shd w:fill="F1F4FC" w:val="clear"/>
        <w:spacing w:after="0" w:before="0"/>
      </w:pPr>
      <w:r>
        <w:rPr>
          <w:rFonts w:ascii="Consolas" w:cs="Consolas" w:eastAsia="Consolas" w:hAnsi="Consolas"/>
          <w:sz w:val="20"/>
          <w:szCs w:val="20"/>
        </w:rPr>
        <w:t xml:space="preserve">  "action_recommandee": "Blocage immédiat + appel client",</w:t>
      </w:r>
    </w:p>
    <w:p>
      <w:pPr>
        <w:shd w:fill="F1F4FC" w:val="clear"/>
        <w:spacing w:after="0" w:before="0"/>
      </w:pPr>
      <w:r>
        <w:rPr>
          <w:rFonts w:ascii="Consolas" w:cs="Consolas" w:eastAsia="Consolas" w:hAnsi="Consolas"/>
          <w:sz w:val="20"/>
          <w:szCs w:val="20"/>
        </w:rPr>
        <w:t xml:space="preserve">  "niveau_confiance": "ÉLEVÉ"</w:t>
      </w:r>
    </w:p>
    <w:p>
      <w:pPr>
        <w:shd w:fill="F1F4FC" w:val="clear"/>
        <w:spacing w:after="160" w:before="0"/>
      </w:pPr>
      <w:r>
        <w:rPr>
          <w:rFonts w:ascii="Consolas" w:cs="Consolas" w:eastAsia="Consolas" w:hAnsi="Consolas"/>
          <w:sz w:val="20"/>
          <w:szCs w:val="20"/>
        </w:rPr>
        <w:t xml:space="preserve">}</w:t>
      </w:r>
    </w:p>
    <w:p>
      <w:pPr>
        <w:pStyle w:val="Heading2"/>
        <w:spacing w:after="140" w:before="260"/>
      </w:pPr>
      <w:r>
        <w:rPr>
          <w:rFonts w:ascii="Calibri" w:cs="Calibri" w:eastAsia="Calibri" w:hAnsi="Calibri"/>
          <w:b/>
          <w:bCs/>
          <w:color w:val="2563EB"/>
          <w:sz w:val="24"/>
          <w:szCs w:val="24"/>
        </w:rPr>
        <w:t xml:space="preserve">13.4 Garde-fous spécifiques</w:t>
      </w:r>
    </w:p>
    <w:p>
      <w:pPr>
        <w:pStyle w:val="ListParagraph"/>
        <w:numPr>
          <w:ilvl w:val="0"/>
          <w:numId w:val="1"/>
        </w:numPr>
        <w:spacing w:after="80" w:line="264"/>
      </w:pPr>
      <w:r>
        <w:rPr>
          <w:rFonts w:ascii="Calibri" w:cs="Calibri" w:eastAsia="Calibri" w:hAnsi="Calibri"/>
          <w:sz w:val="22"/>
          <w:szCs w:val="22"/>
        </w:rPr>
        <w:t xml:space="preserve">le LLM ne pose jamais de diagnostic disciplinaire, judiciaire ou définitif ;</w:t>
      </w:r>
    </w:p>
    <w:p>
      <w:pPr>
        <w:pStyle w:val="ListParagraph"/>
        <w:numPr>
          <w:ilvl w:val="0"/>
          <w:numId w:val="1"/>
        </w:numPr>
        <w:spacing w:after="80" w:line="264"/>
      </w:pPr>
      <w:r>
        <w:rPr>
          <w:rFonts w:ascii="Calibri" w:cs="Calibri" w:eastAsia="Calibri" w:hAnsi="Calibri"/>
          <w:sz w:val="22"/>
          <w:szCs w:val="22"/>
        </w:rPr>
        <w:t xml:space="preserve">il décrit des signaux observés, jamais une certitude de fraude ;</w:t>
      </w:r>
    </w:p>
    <w:p>
      <w:pPr>
        <w:pStyle w:val="ListParagraph"/>
        <w:numPr>
          <w:ilvl w:val="0"/>
          <w:numId w:val="1"/>
        </w:numPr>
        <w:spacing w:after="80" w:line="264"/>
      </w:pPr>
      <w:r>
        <w:rPr>
          <w:rFonts w:ascii="Calibri" w:cs="Calibri" w:eastAsia="Calibri" w:hAnsi="Calibri"/>
          <w:sz w:val="22"/>
          <w:szCs w:val="22"/>
        </w:rPr>
        <w:t xml:space="preserve">il ne modifie jamais le score ni le niveau de risque calculés en amont.</w:t>
      </w:r>
    </w:p>
    <w:p>
      <w:pPr>
        <w:pStyle w:val="Heading1"/>
        <w:pBdr>
          <w:bottom w:val="single" w:color="16215A" w:sz="8" w:space="4"/>
        </w:pBdr>
        <w:spacing w:after="200" w:before="400"/>
      </w:pPr>
      <w:r>
        <w:rPr>
          <w:rFonts w:ascii="Calibri" w:cs="Calibri" w:eastAsia="Calibri" w:hAnsi="Calibri"/>
          <w:b/>
          <w:bCs/>
          <w:color w:val="16215A"/>
          <w:sz w:val="30"/>
          <w:szCs w:val="30"/>
        </w:rPr>
        <w:t xml:space="preserve">14. Workflow 3 — Arbitrage, décision et suivi</w:t>
      </w:r>
    </w:p>
    <w:p>
      <w:pPr>
        <w:pStyle w:val="Heading2"/>
        <w:spacing w:after="140" w:before="260"/>
      </w:pPr>
      <w:r>
        <w:rPr>
          <w:rFonts w:ascii="Calibri" w:cs="Calibri" w:eastAsia="Calibri" w:hAnsi="Calibri"/>
          <w:b/>
          <w:bCs/>
          <w:color w:val="2563EB"/>
          <w:sz w:val="24"/>
          <w:szCs w:val="24"/>
        </w:rPr>
        <w:t xml:space="preserve">14.1 Actions prises en charge</w:t>
      </w:r>
    </w:p>
    <w:p>
      <w:pPr>
        <w:pStyle w:val="ListParagraph"/>
        <w:numPr>
          <w:ilvl w:val="0"/>
          <w:numId w:val="1"/>
        </w:numPr>
        <w:spacing w:after="80" w:line="264"/>
      </w:pPr>
      <w:r>
        <w:rPr>
          <w:rFonts w:ascii="Calibri" w:cs="Calibri" w:eastAsia="Calibri" w:hAnsi="Calibri"/>
          <w:sz w:val="22"/>
          <w:szCs w:val="22"/>
        </w:rPr>
        <w:t xml:space="preserve">CONFIRM_FRAUD</w:t>
      </w:r>
    </w:p>
    <w:p>
      <w:pPr>
        <w:pStyle w:val="ListParagraph"/>
        <w:numPr>
          <w:ilvl w:val="0"/>
          <w:numId w:val="1"/>
        </w:numPr>
        <w:spacing w:after="80" w:line="264"/>
      </w:pPr>
      <w:r>
        <w:rPr>
          <w:rFonts w:ascii="Calibri" w:cs="Calibri" w:eastAsia="Calibri" w:hAnsi="Calibri"/>
          <w:sz w:val="22"/>
          <w:szCs w:val="22"/>
        </w:rPr>
        <w:t xml:space="preserve">MARK_FALSE_POSITIVE</w:t>
      </w:r>
    </w:p>
    <w:p>
      <w:pPr>
        <w:pStyle w:val="ListParagraph"/>
        <w:numPr>
          <w:ilvl w:val="0"/>
          <w:numId w:val="1"/>
        </w:numPr>
        <w:spacing w:after="80" w:line="264"/>
      </w:pPr>
      <w:r>
        <w:rPr>
          <w:rFonts w:ascii="Calibri" w:cs="Calibri" w:eastAsia="Calibri" w:hAnsi="Calibri"/>
          <w:sz w:val="22"/>
          <w:szCs w:val="22"/>
        </w:rPr>
        <w:t xml:space="preserve">ESCALATE_TO_COMPLIANCE</w:t>
      </w:r>
    </w:p>
    <w:p>
      <w:pPr>
        <w:pStyle w:val="Heading2"/>
        <w:spacing w:after="140" w:before="260"/>
      </w:pPr>
      <w:r>
        <w:rPr>
          <w:rFonts w:ascii="Calibri" w:cs="Calibri" w:eastAsia="Calibri" w:hAnsi="Calibri"/>
          <w:b/>
          <w:bCs/>
          <w:color w:val="2563EB"/>
          <w:sz w:val="24"/>
          <w:szCs w:val="24"/>
        </w:rPr>
        <w:t xml:space="preserve">14.2 Cycle de vie d'une alerte</w:t>
      </w:r>
    </w:p>
    <w:p>
      <w:pPr>
        <w:spacing w:after="60"/>
      </w:pPr>
      <w:r>
        <w:rPr>
          <w:rFonts w:ascii="Calibri" w:cs="Calibri" w:eastAsia="Calibri" w:hAnsi="Calibri"/>
          <w:b/>
          <w:bCs/>
          <w:color w:val="2563EB"/>
          <w:sz w:val="22"/>
          <w:szCs w:val="22"/>
        </w:rPr>
        <w:t xml:space="preserve">▸  </w:t>
      </w:r>
      <w:r>
        <w:rPr>
          <w:rFonts w:ascii="Calibri" w:cs="Calibri" w:eastAsia="Calibri" w:hAnsi="Calibri"/>
          <w:sz w:val="22"/>
          <w:szCs w:val="22"/>
        </w:rPr>
        <w:t xml:space="preserve">OPEN</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2563EB"/>
          <w:sz w:val="22"/>
          <w:szCs w:val="22"/>
        </w:rPr>
        <w:t xml:space="preserve">▸  </w:t>
      </w:r>
      <w:r>
        <w:rPr>
          <w:rFonts w:ascii="Calibri" w:cs="Calibri" w:eastAsia="Calibri" w:hAnsi="Calibri"/>
          <w:sz w:val="22"/>
          <w:szCs w:val="22"/>
        </w:rPr>
        <w:t xml:space="preserve">EN_ATTENTE_ARBITRAGE</w:t>
      </w:r>
    </w:p>
    <w:p>
      <w:pPr>
        <w:spacing w:after="60"/>
        <w:ind w:left="200"/>
      </w:pPr>
      <w:r>
        <w:rPr>
          <w:rFonts w:ascii="Calibri" w:cs="Calibri" w:eastAsia="Calibri" w:hAnsi="Calibri"/>
          <w:color w:val="5B6B8C"/>
          <w:sz w:val="22"/>
          <w:szCs w:val="22"/>
        </w:rPr>
        <w:t xml:space="preserve">↓</w:t>
      </w:r>
    </w:p>
    <w:p>
      <w:pPr>
        <w:spacing w:after="60"/>
      </w:pPr>
      <w:r>
        <w:rPr>
          <w:rFonts w:ascii="Calibri" w:cs="Calibri" w:eastAsia="Calibri" w:hAnsi="Calibri"/>
          <w:b/>
          <w:bCs/>
          <w:color w:val="2563EB"/>
          <w:sz w:val="22"/>
          <w:szCs w:val="22"/>
        </w:rPr>
        <w:t xml:space="preserve">▸  </w:t>
      </w:r>
      <w:r>
        <w:rPr>
          <w:rFonts w:ascii="Calibri" w:cs="Calibri" w:eastAsia="Calibri" w:hAnsi="Calibri"/>
          <w:sz w:val="22"/>
          <w:szCs w:val="22"/>
        </w:rPr>
        <w:t xml:space="preserve">CONFIRMED_FRAUD  ou  FALSE_POSITIVE</w:t>
      </w:r>
    </w:p>
    <w:p>
      <w:pPr>
        <w:spacing w:after="160" w:line="276"/>
      </w:pPr>
      <w:r>
        <w:rPr>
          <w:rFonts w:ascii="Calibri" w:cs="Calibri" w:eastAsia="Calibri" w:hAnsi="Calibri"/>
          <w:sz w:val="22"/>
          <w:szCs w:val="22"/>
        </w:rPr>
        <w:t xml:space="preserve">Conditions :</w:t>
      </w:r>
    </w:p>
    <w:p>
      <w:pPr>
        <w:pStyle w:val="ListParagraph"/>
        <w:numPr>
          <w:ilvl w:val="0"/>
          <w:numId w:val="1"/>
        </w:numPr>
        <w:spacing w:after="80" w:line="264"/>
      </w:pPr>
      <w:r>
        <w:rPr>
          <w:rFonts w:ascii="Calibri" w:cs="Calibri" w:eastAsia="Calibri" w:hAnsi="Calibri"/>
          <w:sz w:val="22"/>
          <w:szCs w:val="22"/>
        </w:rPr>
        <w:t xml:space="preserve">l'alerte doit être au statut OPEN pour pouvoir être arbitrée ;</w:t>
      </w:r>
    </w:p>
    <w:p>
      <w:pPr>
        <w:pStyle w:val="ListParagraph"/>
        <w:numPr>
          <w:ilvl w:val="0"/>
          <w:numId w:val="1"/>
        </w:numPr>
        <w:spacing w:after="80" w:line="264"/>
      </w:pPr>
      <w:r>
        <w:rPr>
          <w:rFonts w:ascii="Calibri" w:cs="Calibri" w:eastAsia="Calibri" w:hAnsi="Calibri"/>
          <w:sz w:val="22"/>
          <w:szCs w:val="22"/>
        </w:rPr>
        <w:t xml:space="preserve">chaque décision (qui, quand, quel verdict) est historisée dans le journal d'activité ;</w:t>
      </w:r>
    </w:p>
    <w:p>
      <w:pPr>
        <w:pStyle w:val="ListParagraph"/>
        <w:numPr>
          <w:ilvl w:val="0"/>
          <w:numId w:val="1"/>
        </w:numPr>
        <w:spacing w:after="80" w:line="264"/>
      </w:pPr>
      <w:r>
        <w:rPr>
          <w:rFonts w:ascii="Calibri" w:cs="Calibri" w:eastAsia="Calibri" w:hAnsi="Calibri"/>
          <w:sz w:val="22"/>
          <w:szCs w:val="22"/>
        </w:rPr>
        <w:t xml:space="preserve">une alerte déjà arbitrée ne peut être modifiée sans traçabilité complète du changement.</w:t>
      </w:r>
    </w:p>
    <w:p>
      <w:pPr>
        <w:pStyle w:val="Heading2"/>
        <w:spacing w:after="140" w:before="260"/>
      </w:pPr>
      <w:r>
        <w:rPr>
          <w:rFonts w:ascii="Calibri" w:cs="Calibri" w:eastAsia="Calibri" w:hAnsi="Calibri"/>
          <w:b/>
          <w:bCs/>
          <w:color w:val="2563EB"/>
          <w:sz w:val="24"/>
          <w:szCs w:val="24"/>
        </w:rPr>
        <w:t xml:space="preserve">14.3 Réévaluation</w:t>
      </w:r>
    </w:p>
    <w:p>
      <w:pPr>
        <w:spacing w:after="160" w:line="276"/>
      </w:pPr>
      <w:r>
        <w:rPr>
          <w:rFonts w:ascii="Calibri" w:cs="Calibri" w:eastAsia="Calibri" w:hAnsi="Calibri"/>
          <w:sz w:val="22"/>
          <w:szCs w:val="22"/>
        </w:rPr>
        <w:t xml:space="preserve">Après arbitrage, le profil de risque du client est mis à jour et alimente le calcul des transactions suivantes, sans jamais affirmer qu'un changement de comportement est causé automatiquement par une intervention unique.</w:t>
      </w:r>
    </w:p>
    <w:p>
      <w:pPr>
        <w:pStyle w:val="Heading1"/>
        <w:pBdr>
          <w:bottom w:val="single" w:color="16215A" w:sz="8" w:space="4"/>
        </w:pBdr>
        <w:spacing w:after="200" w:before="400"/>
      </w:pPr>
      <w:r>
        <w:rPr>
          <w:rFonts w:ascii="Calibri" w:cs="Calibri" w:eastAsia="Calibri" w:hAnsi="Calibri"/>
          <w:b/>
          <w:bCs/>
          <w:color w:val="16215A"/>
          <w:sz w:val="30"/>
          <w:szCs w:val="30"/>
        </w:rPr>
        <w:t xml:space="preserve">15. Application web et dashboard SOC</w:t>
      </w:r>
    </w:p>
    <w:p>
      <w:pPr>
        <w:pStyle w:val="Heading2"/>
        <w:spacing w:after="140" w:before="260"/>
      </w:pPr>
      <w:r>
        <w:rPr>
          <w:rFonts w:ascii="Calibri" w:cs="Calibri" w:eastAsia="Calibri" w:hAnsi="Calibri"/>
          <w:b/>
          <w:bCs/>
          <w:color w:val="2563EB"/>
          <w:sz w:val="24"/>
          <w:szCs w:val="24"/>
        </w:rPr>
        <w:t xml:space="preserve">15.1 Tableau de bord</w:t>
      </w:r>
    </w:p>
    <w:p>
      <w:pPr>
        <w:pStyle w:val="ListParagraph"/>
        <w:numPr>
          <w:ilvl w:val="0"/>
          <w:numId w:val="1"/>
        </w:numPr>
        <w:spacing w:after="80" w:line="264"/>
      </w:pPr>
      <w:r>
        <w:rPr>
          <w:rFonts w:ascii="Calibri" w:cs="Calibri" w:eastAsia="Calibri" w:hAnsi="Calibri"/>
          <w:sz w:val="22"/>
          <w:szCs w:val="22"/>
        </w:rPr>
        <w:t xml:space="preserve">Volume total analysé</w:t>
      </w:r>
    </w:p>
    <w:p>
      <w:pPr>
        <w:pStyle w:val="ListParagraph"/>
        <w:numPr>
          <w:ilvl w:val="0"/>
          <w:numId w:val="1"/>
        </w:numPr>
        <w:spacing w:after="80" w:line="264"/>
      </w:pPr>
      <w:r>
        <w:rPr>
          <w:rFonts w:ascii="Calibri" w:cs="Calibri" w:eastAsia="Calibri" w:hAnsi="Calibri"/>
          <w:sz w:val="22"/>
          <w:szCs w:val="22"/>
        </w:rPr>
        <w:t xml:space="preserve">Taux d'anomalies (%)</w:t>
      </w:r>
    </w:p>
    <w:p>
      <w:pPr>
        <w:pStyle w:val="ListParagraph"/>
        <w:numPr>
          <w:ilvl w:val="0"/>
          <w:numId w:val="1"/>
        </w:numPr>
        <w:spacing w:after="80" w:line="264"/>
      </w:pPr>
      <w:r>
        <w:rPr>
          <w:rFonts w:ascii="Calibri" w:cs="Calibri" w:eastAsia="Calibri" w:hAnsi="Calibri"/>
          <w:sz w:val="22"/>
          <w:szCs w:val="22"/>
        </w:rPr>
        <w:t xml:space="preserve">Score moyen de risque</w:t>
      </w:r>
    </w:p>
    <w:p>
      <w:pPr>
        <w:pStyle w:val="ListParagraph"/>
        <w:numPr>
          <w:ilvl w:val="0"/>
          <w:numId w:val="1"/>
        </w:numPr>
        <w:spacing w:after="80" w:line="264"/>
      </w:pPr>
      <w:r>
        <w:rPr>
          <w:rFonts w:ascii="Calibri" w:cs="Calibri" w:eastAsia="Calibri" w:hAnsi="Calibri"/>
          <w:sz w:val="22"/>
          <w:szCs w:val="22"/>
        </w:rPr>
        <w:t xml:space="preserve">Alertes critiques ouvertes</w:t>
      </w:r>
    </w:p>
    <w:p>
      <w:pPr>
        <w:pStyle w:val="ListParagraph"/>
        <w:numPr>
          <w:ilvl w:val="0"/>
          <w:numId w:val="1"/>
        </w:numPr>
        <w:spacing w:after="80" w:line="264"/>
      </w:pPr>
      <w:r>
        <w:rPr>
          <w:rFonts w:ascii="Calibri" w:cs="Calibri" w:eastAsia="Calibri" w:hAnsi="Calibri"/>
          <w:sz w:val="22"/>
          <w:szCs w:val="22"/>
        </w:rPr>
        <w:t xml:space="preserve">Montant total sous risque</w:t>
      </w:r>
    </w:p>
    <w:p>
      <w:pPr>
        <w:pStyle w:val="ListParagraph"/>
        <w:numPr>
          <w:ilvl w:val="0"/>
          <w:numId w:val="1"/>
        </w:numPr>
        <w:spacing w:after="80" w:line="264"/>
      </w:pPr>
      <w:r>
        <w:rPr>
          <w:rFonts w:ascii="Calibri" w:cs="Calibri" w:eastAsia="Calibri" w:hAnsi="Calibri"/>
          <w:sz w:val="22"/>
          <w:szCs w:val="22"/>
        </w:rPr>
        <w:t xml:space="preserve">Temps moyen de traitement</w:t>
      </w:r>
    </w:p>
    <w:p>
      <w:pPr>
        <w:pStyle w:val="ListParagraph"/>
        <w:numPr>
          <w:ilvl w:val="0"/>
          <w:numId w:val="1"/>
        </w:numPr>
        <w:spacing w:after="80" w:line="264"/>
      </w:pPr>
      <w:r>
        <w:rPr>
          <w:rFonts w:ascii="Calibri" w:cs="Calibri" w:eastAsia="Calibri" w:hAnsi="Calibri"/>
          <w:sz w:val="22"/>
          <w:szCs w:val="22"/>
        </w:rPr>
        <w:t xml:space="preserve">Taux de faux positifs (%)</w:t>
      </w:r>
    </w:p>
    <w:p>
      <w:pPr>
        <w:pStyle w:val="Heading2"/>
        <w:spacing w:after="140" w:before="260"/>
      </w:pPr>
      <w:r>
        <w:rPr>
          <w:rFonts w:ascii="Calibri" w:cs="Calibri" w:eastAsia="Calibri" w:hAnsi="Calibri"/>
          <w:b/>
          <w:bCs/>
          <w:color w:val="2563EB"/>
          <w:sz w:val="24"/>
          <w:szCs w:val="24"/>
        </w:rPr>
        <w:t xml:space="preserve">15.2 Page Alertes</w:t>
      </w:r>
    </w:p>
    <w:p>
      <w:pPr>
        <w:spacing w:after="160" w:line="276"/>
      </w:pPr>
      <w:r>
        <w:rPr>
          <w:rFonts w:ascii="Calibri" w:cs="Calibri" w:eastAsia="Calibri" w:hAnsi="Calibri"/>
          <w:sz w:val="22"/>
          <w:szCs w:val="22"/>
        </w:rPr>
        <w:t xml:space="preserve">Liste filtrable par sévérité (Critique, Élevé, Moyen, Faible), avec accès direct au détail de chaque transaction.</w:t>
      </w:r>
    </w:p>
    <w:p>
      <w:pPr>
        <w:pStyle w:val="Heading2"/>
        <w:spacing w:after="140" w:before="260"/>
      </w:pPr>
      <w:r>
        <w:rPr>
          <w:rFonts w:ascii="Calibri" w:cs="Calibri" w:eastAsia="Calibri" w:hAnsi="Calibri"/>
          <w:b/>
          <w:bCs/>
          <w:color w:val="2563EB"/>
          <w:sz w:val="24"/>
          <w:szCs w:val="24"/>
        </w:rPr>
        <w:t xml:space="preserve">15.3 Fiche transaction</w:t>
      </w:r>
    </w:p>
    <w:p>
      <w:pPr>
        <w:pStyle w:val="ListParagraph"/>
        <w:numPr>
          <w:ilvl w:val="0"/>
          <w:numId w:val="1"/>
        </w:numPr>
        <w:spacing w:after="80" w:line="264"/>
      </w:pPr>
      <w:r>
        <w:rPr>
          <w:rFonts w:ascii="Calibri" w:cs="Calibri" w:eastAsia="Calibri" w:hAnsi="Calibri"/>
          <w:sz w:val="22"/>
          <w:szCs w:val="22"/>
        </w:rPr>
        <w:t xml:space="preserve">Score et niveau de risque</w:t>
      </w:r>
    </w:p>
    <w:p>
      <w:pPr>
        <w:pStyle w:val="ListParagraph"/>
        <w:numPr>
          <w:ilvl w:val="0"/>
          <w:numId w:val="1"/>
        </w:numPr>
        <w:spacing w:after="80" w:line="264"/>
      </w:pPr>
      <w:r>
        <w:rPr>
          <w:rFonts w:ascii="Calibri" w:cs="Calibri" w:eastAsia="Calibri" w:hAnsi="Calibri"/>
          <w:sz w:val="22"/>
          <w:szCs w:val="22"/>
        </w:rPr>
        <w:t xml:space="preserve">Règles déclenchées</w:t>
      </w:r>
    </w:p>
    <w:p>
      <w:pPr>
        <w:pStyle w:val="ListParagraph"/>
        <w:numPr>
          <w:ilvl w:val="0"/>
          <w:numId w:val="1"/>
        </w:numPr>
        <w:spacing w:after="80" w:line="264"/>
      </w:pPr>
      <w:r>
        <w:rPr>
          <w:rFonts w:ascii="Calibri" w:cs="Calibri" w:eastAsia="Calibri" w:hAnsi="Calibri"/>
          <w:sz w:val="22"/>
          <w:szCs w:val="22"/>
        </w:rPr>
        <w:t xml:space="preserve">Diagnostic IA</w:t>
      </w:r>
    </w:p>
    <w:p>
      <w:pPr>
        <w:pStyle w:val="ListParagraph"/>
        <w:numPr>
          <w:ilvl w:val="0"/>
          <w:numId w:val="1"/>
        </w:numPr>
        <w:spacing w:after="80" w:line="264"/>
      </w:pPr>
      <w:r>
        <w:rPr>
          <w:rFonts w:ascii="Calibri" w:cs="Calibri" w:eastAsia="Calibri" w:hAnsi="Calibri"/>
          <w:sz w:val="22"/>
          <w:szCs w:val="22"/>
        </w:rPr>
        <w:t xml:space="preserve">Historique du client</w:t>
      </w:r>
    </w:p>
    <w:p>
      <w:pPr>
        <w:pStyle w:val="ListParagraph"/>
        <w:numPr>
          <w:ilvl w:val="0"/>
          <w:numId w:val="1"/>
        </w:numPr>
        <w:spacing w:after="80" w:line="264"/>
      </w:pPr>
      <w:r>
        <w:rPr>
          <w:rFonts w:ascii="Calibri" w:cs="Calibri" w:eastAsia="Calibri" w:hAnsi="Calibri"/>
          <w:sz w:val="22"/>
          <w:szCs w:val="22"/>
        </w:rPr>
        <w:t xml:space="preserve">Actions directes : Confirmer fraude / Faux positif</w:t>
      </w:r>
    </w:p>
    <w:p>
      <w:pPr>
        <w:pStyle w:val="Heading2"/>
        <w:spacing w:after="140" w:before="260"/>
      </w:pPr>
      <w:r>
        <w:rPr>
          <w:rFonts w:ascii="Calibri" w:cs="Calibri" w:eastAsia="Calibri" w:hAnsi="Calibri"/>
          <w:b/>
          <w:bCs/>
          <w:color w:val="2563EB"/>
          <w:sz w:val="24"/>
          <w:szCs w:val="24"/>
        </w:rPr>
        <w:t xml:space="preserve">15.4 Page Règles de scoring</w:t>
      </w:r>
    </w:p>
    <w:p>
      <w:pPr>
        <w:spacing w:after="160" w:line="276"/>
      </w:pPr>
      <w:r>
        <w:rPr>
          <w:rFonts w:ascii="Calibri" w:cs="Calibri" w:eastAsia="Calibri" w:hAnsi="Calibri"/>
          <w:sz w:val="22"/>
          <w:szCs w:val="22"/>
        </w:rPr>
        <w:t xml:space="preserve">Fréquence de déclenchement de chacune des 12 règles sur l'ensemble des transactions analysées, pour identifier les signaux les plus fréquents.</w:t>
      </w:r>
    </w:p>
    <w:p>
      <w:pPr>
        <w:pStyle w:val="Heading1"/>
        <w:pBdr>
          <w:bottom w:val="single" w:color="16215A" w:sz="8" w:space="4"/>
        </w:pBdr>
        <w:spacing w:after="200" w:before="400"/>
      </w:pPr>
      <w:r>
        <w:rPr>
          <w:rFonts w:ascii="Calibri" w:cs="Calibri" w:eastAsia="Calibri" w:hAnsi="Calibri"/>
          <w:b/>
          <w:bCs/>
          <w:color w:val="16215A"/>
          <w:sz w:val="30"/>
          <w:szCs w:val="30"/>
        </w:rPr>
        <w:t xml:space="preserve">16. Modèle de données fonctionnel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rPr>
          <w:tblHeader/>
        </w:trPr>
        <w:tc>
          <w:tcPr>
            <w:tcW w:type="dxa" w:w="32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Domaine</w:t>
            </w:r>
          </w:p>
        </w:tc>
        <w:tc>
          <w:tcPr>
            <w:tcW w:type="dxa" w:w="7000"/>
            <w:shd w:fill="16215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Tables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Structure</w:t>
            </w:r>
          </w:p>
        </w:tc>
        <w:tc>
          <w:tcPr>
            <w:tcW w:type="dxa" w:w="7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customers, cards, accounts</w:t>
            </w:r>
          </w:p>
        </w:tc>
      </w:tr>
      <w:tr>
        <w:tc>
          <w:tcPr>
            <w:tcW w:type="dxa" w:w="3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Transactions</w:t>
            </w:r>
          </w:p>
        </w:tc>
        <w:tc>
          <w:tcPr>
            <w:tcW w:type="dxa" w:w="70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transactions, transaction_metadata</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Scoring</w:t>
            </w:r>
          </w:p>
        </w:tc>
        <w:tc>
          <w:tcPr>
            <w:tcW w:type="dxa" w:w="7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risk_evaluations, triggered_rules</w:t>
            </w:r>
          </w:p>
        </w:tc>
      </w:tr>
      <w:tr>
        <w:tc>
          <w:tcPr>
            <w:tcW w:type="dxa" w:w="3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Diagnostic IA</w:t>
            </w:r>
          </w:p>
        </w:tc>
        <w:tc>
          <w:tcPr>
            <w:tcW w:type="dxa" w:w="70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ai_investigations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Alertes</w:t>
            </w:r>
          </w:p>
        </w:tc>
        <w:tc>
          <w:tcPr>
            <w:tcW w:type="dxa" w:w="7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fraud_alerts</w:t>
            </w:r>
          </w:p>
        </w:tc>
      </w:tr>
      <w:tr>
        <w:tc>
          <w:tcPr>
            <w:tcW w:type="dxa" w:w="32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Arbitrage</w:t>
            </w:r>
          </w:p>
        </w:tc>
        <w:tc>
          <w:tcPr>
            <w:tcW w:type="dxa" w:w="7000"/>
            <w:shd w:fill="F4F7FD"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analyst_decisions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Traçabilité</w:t>
            </w:r>
          </w:p>
        </w:tc>
        <w:tc>
          <w:tcPr>
            <w:tcW w:type="dxa" w:w="70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activity_logs</w:t>
            </w:r>
          </w:p>
        </w:tc>
      </w:tr>
    </w:tbl>
    <w:p>
      <w:pPr>
        <w:pStyle w:val="Heading1"/>
        <w:pBdr>
          <w:bottom w:val="single" w:color="16215A" w:sz="8" w:space="4"/>
        </w:pBdr>
        <w:spacing w:after="200" w:before="400"/>
      </w:pPr>
      <w:r>
        <w:rPr>
          <w:rFonts w:ascii="Calibri" w:cs="Calibri" w:eastAsia="Calibri" w:hAnsi="Calibri"/>
          <w:b/>
          <w:bCs/>
          <w:color w:val="16215A"/>
          <w:sz w:val="30"/>
          <w:szCs w:val="30"/>
        </w:rPr>
        <w:t xml:space="preserve">17. Sécurité et garde-fous IA</w:t>
      </w:r>
    </w:p>
    <w:p>
      <w:pPr>
        <w:spacing w:after="80" w:line="264"/>
      </w:pPr>
      <w:r>
        <w:rPr>
          <w:rFonts w:ascii="Calibri" w:cs="Calibri" w:eastAsia="Calibri" w:hAnsi="Calibri"/>
          <w:sz w:val="22"/>
          <w:szCs w:val="22"/>
        </w:rPr>
        <w:t xml:space="preserve">1. aucune qualification de fraude confirmée sans validation d'un analyste ;</w:t>
      </w:r>
    </w:p>
    <w:p>
      <w:pPr>
        <w:spacing w:after="80" w:line="264"/>
      </w:pPr>
      <w:r>
        <w:rPr>
          <w:rFonts w:ascii="Calibri" w:cs="Calibri" w:eastAsia="Calibri" w:hAnsi="Calibri"/>
          <w:sz w:val="22"/>
          <w:szCs w:val="22"/>
        </w:rPr>
        <w:t xml:space="preserve">2. aucun blocage définitif sans possibilité de recours humain ;</w:t>
      </w:r>
    </w:p>
    <w:p>
      <w:pPr>
        <w:spacing w:after="80" w:line="264"/>
      </w:pPr>
      <w:r>
        <w:rPr>
          <w:rFonts w:ascii="Calibri" w:cs="Calibri" w:eastAsia="Calibri" w:hAnsi="Calibri"/>
          <w:sz w:val="22"/>
          <w:szCs w:val="22"/>
        </w:rPr>
        <w:t xml:space="preserve">3. le LLM ne recalcule jamais le score, le niveau de risque ni la décision ;</w:t>
      </w:r>
    </w:p>
    <w:p>
      <w:pPr>
        <w:spacing w:after="80" w:line="264"/>
      </w:pPr>
      <w:r>
        <w:rPr>
          <w:rFonts w:ascii="Calibri" w:cs="Calibri" w:eastAsia="Calibri" w:hAnsi="Calibri"/>
          <w:sz w:val="22"/>
          <w:szCs w:val="22"/>
        </w:rPr>
        <w:t xml:space="preserve">4. contextualisation minimale transmise au LLM (pas de RIB complet, pas de donnée superflue) ;</w:t>
      </w:r>
    </w:p>
    <w:p>
      <w:pPr>
        <w:spacing w:after="80" w:line="264"/>
      </w:pPr>
      <w:r>
        <w:rPr>
          <w:rFonts w:ascii="Calibri" w:cs="Calibri" w:eastAsia="Calibri" w:hAnsi="Calibri"/>
          <w:sz w:val="22"/>
          <w:szCs w:val="22"/>
        </w:rPr>
        <w:t xml:space="preserve">5. traçabilité de toutes les décisions : score, diagnostic, arbitrage ;</w:t>
      </w:r>
    </w:p>
    <w:p>
      <w:pPr>
        <w:spacing w:after="80" w:line="264"/>
      </w:pPr>
      <w:r>
        <w:rPr>
          <w:rFonts w:ascii="Calibri" w:cs="Calibri" w:eastAsia="Calibri" w:hAnsi="Calibri"/>
          <w:sz w:val="22"/>
          <w:szCs w:val="22"/>
        </w:rPr>
        <w:t xml:space="preserve">6. conformité aux exigences Bank Al-Maghrib et CNDP pour les données bancaires ;</w:t>
      </w:r>
    </w:p>
    <w:p>
      <w:pPr>
        <w:spacing w:after="80" w:line="264"/>
      </w:pPr>
      <w:r>
        <w:rPr>
          <w:rFonts w:ascii="Calibri" w:cs="Calibri" w:eastAsia="Calibri" w:hAnsi="Calibri"/>
          <w:sz w:val="22"/>
          <w:szCs w:val="22"/>
        </w:rPr>
        <w:t xml:space="preserve">7. calcul déterministe du risque avant toute synthèse IA ;</w:t>
      </w:r>
    </w:p>
    <w:p>
      <w:pPr>
        <w:spacing w:after="80" w:line="264"/>
      </w:pPr>
      <w:r>
        <w:rPr>
          <w:rFonts w:ascii="Calibri" w:cs="Calibri" w:eastAsia="Calibri" w:hAnsi="Calibri"/>
          <w:sz w:val="22"/>
          <w:szCs w:val="22"/>
        </w:rPr>
        <w:t xml:space="preserve">8. le système n'automatise jamais une action disciplinaire ou de recouvrement.</w:t>
      </w:r>
    </w:p>
    <w:p>
      <w:pPr>
        <w:pStyle w:val="Heading1"/>
        <w:pBdr>
          <w:bottom w:val="single" w:color="16215A" w:sz="8" w:space="4"/>
        </w:pBdr>
        <w:spacing w:after="200" w:before="400"/>
      </w:pPr>
      <w:r>
        <w:rPr>
          <w:rFonts w:ascii="Calibri" w:cs="Calibri" w:eastAsia="Calibri" w:hAnsi="Calibri"/>
          <w:b/>
          <w:bCs/>
          <w:color w:val="16215A"/>
          <w:sz w:val="30"/>
          <w:szCs w:val="30"/>
        </w:rPr>
        <w:t xml:space="preserve">18. Indicateurs de pilotage</w:t>
      </w:r>
    </w:p>
    <w:p>
      <w:pPr>
        <w:spacing w:after="160" w:line="276"/>
      </w:pPr>
      <w:r>
        <w:rPr>
          <w:rFonts w:ascii="Calibri" w:cs="Calibri" w:eastAsia="Calibri" w:hAnsi="Calibri"/>
          <w:sz w:val="22"/>
          <w:szCs w:val="22"/>
        </w:rPr>
        <w:t xml:space="preserve">Conformément au problème mesurable de la section 3, le dashboard doit permettre de calculer ou dériver :</w:t>
      </w:r>
    </w:p>
    <w:p>
      <w:pPr>
        <w:pStyle w:val="ListParagraph"/>
        <w:numPr>
          <w:ilvl w:val="0"/>
          <w:numId w:val="1"/>
        </w:numPr>
        <w:spacing w:after="80" w:line="264"/>
      </w:pPr>
      <w:r>
        <w:rPr>
          <w:rFonts w:ascii="Calibri" w:cs="Calibri" w:eastAsia="Calibri" w:hAnsi="Calibri"/>
          <w:sz w:val="22"/>
          <w:szCs w:val="22"/>
        </w:rPr>
        <w:t xml:space="preserve">Volume de transactions analysées</w:t>
      </w:r>
    </w:p>
    <w:p>
      <w:pPr>
        <w:pStyle w:val="ListParagraph"/>
        <w:numPr>
          <w:ilvl w:val="0"/>
          <w:numId w:val="1"/>
        </w:numPr>
        <w:spacing w:after="80" w:line="264"/>
      </w:pPr>
      <w:r>
        <w:rPr>
          <w:rFonts w:ascii="Calibri" w:cs="Calibri" w:eastAsia="Calibri" w:hAnsi="Calibri"/>
          <w:sz w:val="22"/>
          <w:szCs w:val="22"/>
        </w:rPr>
        <w:t xml:space="preserve">Taux et nombre de transactions à risque</w:t>
      </w:r>
    </w:p>
    <w:p>
      <w:pPr>
        <w:pStyle w:val="ListParagraph"/>
        <w:numPr>
          <w:ilvl w:val="0"/>
          <w:numId w:val="1"/>
        </w:numPr>
        <w:spacing w:after="80" w:line="264"/>
      </w:pPr>
      <w:r>
        <w:rPr>
          <w:rFonts w:ascii="Calibri" w:cs="Calibri" w:eastAsia="Calibri" w:hAnsi="Calibri"/>
          <w:sz w:val="22"/>
          <w:szCs w:val="22"/>
        </w:rPr>
        <w:t xml:space="preserve">Répartition LOW / MEDIUM / HIGH / CRITICAL</w:t>
      </w:r>
    </w:p>
    <w:p>
      <w:pPr>
        <w:pStyle w:val="ListParagraph"/>
        <w:numPr>
          <w:ilvl w:val="0"/>
          <w:numId w:val="1"/>
        </w:numPr>
        <w:spacing w:after="80" w:line="264"/>
      </w:pPr>
      <w:r>
        <w:rPr>
          <w:rFonts w:ascii="Calibri" w:cs="Calibri" w:eastAsia="Calibri" w:hAnsi="Calibri"/>
          <w:sz w:val="22"/>
          <w:szCs w:val="22"/>
        </w:rPr>
        <w:t xml:space="preserve">Temps moyen de traitement</w:t>
      </w:r>
    </w:p>
    <w:p>
      <w:pPr>
        <w:pStyle w:val="ListParagraph"/>
        <w:numPr>
          <w:ilvl w:val="0"/>
          <w:numId w:val="1"/>
        </w:numPr>
        <w:spacing w:after="80" w:line="264"/>
      </w:pPr>
      <w:r>
        <w:rPr>
          <w:rFonts w:ascii="Calibri" w:cs="Calibri" w:eastAsia="Calibri" w:hAnsi="Calibri"/>
          <w:sz w:val="22"/>
          <w:szCs w:val="22"/>
        </w:rPr>
        <w:t xml:space="preserve">Taux de faux positifs</w:t>
      </w:r>
    </w:p>
    <w:p>
      <w:pPr>
        <w:pStyle w:val="ListParagraph"/>
        <w:numPr>
          <w:ilvl w:val="0"/>
          <w:numId w:val="1"/>
        </w:numPr>
        <w:spacing w:after="80" w:line="264"/>
      </w:pPr>
      <w:r>
        <w:rPr>
          <w:rFonts w:ascii="Calibri" w:cs="Calibri" w:eastAsia="Calibri" w:hAnsi="Calibri"/>
          <w:sz w:val="22"/>
          <w:szCs w:val="22"/>
        </w:rPr>
        <w:t xml:space="preserve">Taux d'actions arbitrées (confirmées / faux positifs)</w:t>
      </w:r>
    </w:p>
    <w:p>
      <w:pPr>
        <w:pStyle w:val="ListParagraph"/>
        <w:numPr>
          <w:ilvl w:val="0"/>
          <w:numId w:val="1"/>
        </w:numPr>
        <w:spacing w:after="80" w:line="264"/>
      </w:pPr>
      <w:r>
        <w:rPr>
          <w:rFonts w:ascii="Calibri" w:cs="Calibri" w:eastAsia="Calibri" w:hAnsi="Calibri"/>
          <w:sz w:val="22"/>
          <w:szCs w:val="22"/>
        </w:rPr>
        <w:t xml:space="preserve">Montant total sous risque</w:t>
      </w:r>
    </w:p>
    <w:p>
      <w:pPr>
        <w:pStyle w:val="ListParagraph"/>
        <w:numPr>
          <w:ilvl w:val="0"/>
          <w:numId w:val="1"/>
        </w:numPr>
        <w:spacing w:after="80" w:line="264"/>
      </w:pPr>
      <w:r>
        <w:rPr>
          <w:rFonts w:ascii="Calibri" w:cs="Calibri" w:eastAsia="Calibri" w:hAnsi="Calibri"/>
          <w:sz w:val="22"/>
          <w:szCs w:val="22"/>
        </w:rPr>
        <w:t xml:space="preserve">Fréquence de déclenchement par règle</w:t>
      </w:r>
    </w:p>
    <w:p>
      <w:pPr>
        <w:pStyle w:val="ListParagraph"/>
        <w:numPr>
          <w:ilvl w:val="0"/>
          <w:numId w:val="1"/>
        </w:numPr>
        <w:spacing w:after="80" w:line="264"/>
      </w:pPr>
      <w:r>
        <w:rPr>
          <w:rFonts w:ascii="Calibri" w:cs="Calibri" w:eastAsia="Calibri" w:hAnsi="Calibri"/>
          <w:sz w:val="22"/>
          <w:szCs w:val="22"/>
        </w:rPr>
        <w:t xml:space="preserve">Taux de conformité BAM / CNDP</w:t>
      </w:r>
    </w:p>
    <w:p>
      <w:pPr>
        <w:pStyle w:val="Heading1"/>
        <w:pBdr>
          <w:bottom w:val="single" w:color="16215A" w:sz="8" w:space="4"/>
        </w:pBdr>
        <w:spacing w:after="200" w:before="400"/>
      </w:pPr>
      <w:r>
        <w:rPr>
          <w:rFonts w:ascii="Calibri" w:cs="Calibri" w:eastAsia="Calibri" w:hAnsi="Calibri"/>
          <w:b/>
          <w:bCs/>
          <w:color w:val="16215A"/>
          <w:sz w:val="30"/>
          <w:szCs w:val="30"/>
        </w:rPr>
        <w:t xml:space="preserve">19. Critères d'acceptation</w:t>
      </w:r>
    </w:p>
    <w:p>
      <w:pPr>
        <w:pStyle w:val="Heading2"/>
        <w:spacing w:after="140" w:before="260"/>
      </w:pPr>
      <w:r>
        <w:rPr>
          <w:rFonts w:ascii="Calibri" w:cs="Calibri" w:eastAsia="Calibri" w:hAnsi="Calibri"/>
          <w:b/>
          <w:bCs/>
          <w:color w:val="2563EB"/>
          <w:sz w:val="24"/>
          <w:szCs w:val="24"/>
        </w:rPr>
        <w:t xml:space="preserve">Scoring</w:t>
      </w:r>
    </w:p>
    <w:p>
      <w:pPr>
        <w:pStyle w:val="ListParagraph"/>
        <w:numPr>
          <w:ilvl w:val="0"/>
          <w:numId w:val="1"/>
        </w:numPr>
        <w:spacing w:after="80" w:line="264"/>
      </w:pPr>
      <w:r>
        <w:rPr>
          <w:rFonts w:ascii="Calibri" w:cs="Calibri" w:eastAsia="Calibri" w:hAnsi="Calibri"/>
          <w:sz w:val="22"/>
          <w:szCs w:val="22"/>
        </w:rPr>
        <w:t xml:space="preserve">une transaction simulée peut être scorée manuellement ou en temps réel ;</w:t>
      </w:r>
    </w:p>
    <w:p>
      <w:pPr>
        <w:pStyle w:val="ListParagraph"/>
        <w:numPr>
          <w:ilvl w:val="0"/>
          <w:numId w:val="1"/>
        </w:numPr>
        <w:spacing w:after="80" w:line="264"/>
      </w:pPr>
      <w:r>
        <w:rPr>
          <w:rFonts w:ascii="Calibri" w:cs="Calibri" w:eastAsia="Calibri" w:hAnsi="Calibri"/>
          <w:sz w:val="22"/>
          <w:szCs w:val="22"/>
        </w:rPr>
        <w:t xml:space="preserve">un score 0–100 est produit par les règles déterministes ;</w:t>
      </w:r>
    </w:p>
    <w:p>
      <w:pPr>
        <w:pStyle w:val="ListParagraph"/>
        <w:numPr>
          <w:ilvl w:val="0"/>
          <w:numId w:val="1"/>
        </w:numPr>
        <w:spacing w:after="80" w:line="264"/>
      </w:pPr>
      <w:r>
        <w:rPr>
          <w:rFonts w:ascii="Calibri" w:cs="Calibri" w:eastAsia="Calibri" w:hAnsi="Calibri"/>
          <w:sz w:val="22"/>
          <w:szCs w:val="22"/>
        </w:rPr>
        <w:t xml:space="preserve">un niveau LOW / MEDIUM / HIGH / CRITICAL est produit ;</w:t>
      </w:r>
    </w:p>
    <w:p>
      <w:pPr>
        <w:pStyle w:val="ListParagraph"/>
        <w:numPr>
          <w:ilvl w:val="0"/>
          <w:numId w:val="1"/>
        </w:numPr>
        <w:spacing w:after="80" w:line="264"/>
      </w:pPr>
      <w:r>
        <w:rPr>
          <w:rFonts w:ascii="Calibri" w:cs="Calibri" w:eastAsia="Calibri" w:hAnsi="Calibri"/>
          <w:sz w:val="22"/>
          <w:szCs w:val="22"/>
        </w:rPr>
        <w:t xml:space="preserve">les règles déclenchées sont enregistrées ;</w:t>
      </w:r>
    </w:p>
    <w:p>
      <w:pPr>
        <w:pStyle w:val="ListParagraph"/>
        <w:numPr>
          <w:ilvl w:val="0"/>
          <w:numId w:val="1"/>
        </w:numPr>
        <w:spacing w:after="80" w:line="264"/>
      </w:pPr>
      <w:r>
        <w:rPr>
          <w:rFonts w:ascii="Calibri" w:cs="Calibri" w:eastAsia="Calibri" w:hAnsi="Calibri"/>
          <w:sz w:val="22"/>
          <w:szCs w:val="22"/>
        </w:rPr>
        <w:t xml:space="preserve">la décision (Approuver / Challenge / Bloquer) est appliquée en moins de 400 ms.</w:t>
      </w:r>
    </w:p>
    <w:p>
      <w:pPr>
        <w:pStyle w:val="Heading2"/>
        <w:spacing w:after="140" w:before="260"/>
      </w:pPr>
      <w:r>
        <w:rPr>
          <w:rFonts w:ascii="Calibri" w:cs="Calibri" w:eastAsia="Calibri" w:hAnsi="Calibri"/>
          <w:b/>
          <w:bCs/>
          <w:color w:val="2563EB"/>
          <w:sz w:val="24"/>
          <w:szCs w:val="24"/>
        </w:rPr>
        <w:t xml:space="preserve">Diagnostic IA</w:t>
      </w:r>
    </w:p>
    <w:p>
      <w:pPr>
        <w:pStyle w:val="ListParagraph"/>
        <w:numPr>
          <w:ilvl w:val="0"/>
          <w:numId w:val="1"/>
        </w:numPr>
        <w:spacing w:after="80" w:line="264"/>
      </w:pPr>
      <w:r>
        <w:rPr>
          <w:rFonts w:ascii="Calibri" w:cs="Calibri" w:eastAsia="Calibri" w:hAnsi="Calibri"/>
          <w:sz w:val="22"/>
          <w:szCs w:val="22"/>
        </w:rPr>
        <w:t xml:space="preserve">une synthèse est générée pour tout score supérieur ou égal à 66 ;</w:t>
      </w:r>
    </w:p>
    <w:p>
      <w:pPr>
        <w:pStyle w:val="ListParagraph"/>
        <w:numPr>
          <w:ilvl w:val="0"/>
          <w:numId w:val="1"/>
        </w:numPr>
        <w:spacing w:after="80" w:line="264"/>
      </w:pPr>
      <w:r>
        <w:rPr>
          <w:rFonts w:ascii="Calibri" w:cs="Calibri" w:eastAsia="Calibri" w:hAnsi="Calibri"/>
          <w:sz w:val="22"/>
          <w:szCs w:val="22"/>
        </w:rPr>
        <w:t xml:space="preserve">la synthèse est enregistrée et consultable dans le dashboard ;</w:t>
      </w:r>
    </w:p>
    <w:p>
      <w:pPr>
        <w:pStyle w:val="ListParagraph"/>
        <w:numPr>
          <w:ilvl w:val="0"/>
          <w:numId w:val="1"/>
        </w:numPr>
        <w:spacing w:after="80" w:line="264"/>
      </w:pPr>
      <w:r>
        <w:rPr>
          <w:rFonts w:ascii="Calibri" w:cs="Calibri" w:eastAsia="Calibri" w:hAnsi="Calibri"/>
          <w:sz w:val="22"/>
          <w:szCs w:val="22"/>
        </w:rPr>
        <w:t xml:space="preserve">la synthèse ne modifie jamais le score calculé.</w:t>
      </w:r>
    </w:p>
    <w:p>
      <w:pPr>
        <w:pStyle w:val="Heading2"/>
        <w:spacing w:after="140" w:before="260"/>
      </w:pPr>
      <w:r>
        <w:rPr>
          <w:rFonts w:ascii="Calibri" w:cs="Calibri" w:eastAsia="Calibri" w:hAnsi="Calibri"/>
          <w:b/>
          <w:bCs/>
          <w:color w:val="2563EB"/>
          <w:sz w:val="24"/>
          <w:szCs w:val="24"/>
        </w:rPr>
        <w:t xml:space="preserve">Arbitrage</w:t>
      </w:r>
    </w:p>
    <w:p>
      <w:pPr>
        <w:pStyle w:val="ListParagraph"/>
        <w:numPr>
          <w:ilvl w:val="0"/>
          <w:numId w:val="1"/>
        </w:numPr>
        <w:spacing w:after="80" w:line="264"/>
      </w:pPr>
      <w:r>
        <w:rPr>
          <w:rFonts w:ascii="Calibri" w:cs="Calibri" w:eastAsia="Calibri" w:hAnsi="Calibri"/>
          <w:sz w:val="22"/>
          <w:szCs w:val="22"/>
        </w:rPr>
        <w:t xml:space="preserve">un analyste peut confirmer ou rejeter une alerte ;</w:t>
      </w:r>
    </w:p>
    <w:p>
      <w:pPr>
        <w:pStyle w:val="ListParagraph"/>
        <w:numPr>
          <w:ilvl w:val="0"/>
          <w:numId w:val="1"/>
        </w:numPr>
        <w:spacing w:after="80" w:line="264"/>
      </w:pPr>
      <w:r>
        <w:rPr>
          <w:rFonts w:ascii="Calibri" w:cs="Calibri" w:eastAsia="Calibri" w:hAnsi="Calibri"/>
          <w:sz w:val="22"/>
          <w:szCs w:val="22"/>
        </w:rPr>
        <w:t xml:space="preserve">chaque décision est historisée avec horodatage ;</w:t>
      </w:r>
    </w:p>
    <w:p>
      <w:pPr>
        <w:pStyle w:val="ListParagraph"/>
        <w:numPr>
          <w:ilvl w:val="0"/>
          <w:numId w:val="1"/>
        </w:numPr>
        <w:spacing w:after="80" w:line="264"/>
      </w:pPr>
      <w:r>
        <w:rPr>
          <w:rFonts w:ascii="Calibri" w:cs="Calibri" w:eastAsia="Calibri" w:hAnsi="Calibri"/>
          <w:sz w:val="22"/>
          <w:szCs w:val="22"/>
        </w:rPr>
        <w:t xml:space="preserve">le statut de l'alerte se met à jour immédiatement dans le dashboard.</w:t>
      </w:r>
    </w:p>
    <w:p>
      <w:pPr>
        <w:pStyle w:val="Heading2"/>
        <w:spacing w:after="140" w:before="260"/>
      </w:pPr>
      <w:r>
        <w:rPr>
          <w:rFonts w:ascii="Calibri" w:cs="Calibri" w:eastAsia="Calibri" w:hAnsi="Calibri"/>
          <w:b/>
          <w:bCs/>
          <w:color w:val="2563EB"/>
          <w:sz w:val="24"/>
          <w:szCs w:val="24"/>
        </w:rPr>
        <w:t xml:space="preserve">Dashboard</w:t>
      </w:r>
    </w:p>
    <w:p>
      <w:pPr>
        <w:pStyle w:val="ListParagraph"/>
        <w:numPr>
          <w:ilvl w:val="0"/>
          <w:numId w:val="1"/>
        </w:numPr>
        <w:spacing w:after="80" w:line="264"/>
      </w:pPr>
      <w:r>
        <w:rPr>
          <w:rFonts w:ascii="Calibri" w:cs="Calibri" w:eastAsia="Calibri" w:hAnsi="Calibri"/>
          <w:sz w:val="22"/>
          <w:szCs w:val="22"/>
        </w:rPr>
        <w:t xml:space="preserve">les indicateurs reflètent l'état réel de la base de données ;</w:t>
      </w:r>
    </w:p>
    <w:p>
      <w:pPr>
        <w:pStyle w:val="ListParagraph"/>
        <w:numPr>
          <w:ilvl w:val="0"/>
          <w:numId w:val="1"/>
        </w:numPr>
        <w:spacing w:after="80" w:line="264"/>
      </w:pPr>
      <w:r>
        <w:rPr>
          <w:rFonts w:ascii="Calibri" w:cs="Calibri" w:eastAsia="Calibri" w:hAnsi="Calibri"/>
          <w:sz w:val="22"/>
          <w:szCs w:val="22"/>
        </w:rPr>
        <w:t xml:space="preserve">les alertes sont consultables et filtrables par sévérité ;</w:t>
      </w:r>
    </w:p>
    <w:p>
      <w:pPr>
        <w:pStyle w:val="ListParagraph"/>
        <w:numPr>
          <w:ilvl w:val="0"/>
          <w:numId w:val="1"/>
        </w:numPr>
        <w:spacing w:after="80" w:line="264"/>
      </w:pPr>
      <w:r>
        <w:rPr>
          <w:rFonts w:ascii="Calibri" w:cs="Calibri" w:eastAsia="Calibri" w:hAnsi="Calibri"/>
          <w:sz w:val="22"/>
          <w:szCs w:val="22"/>
        </w:rPr>
        <w:t xml:space="preserve">les erreurs sont affichées de façon lisible, jamais en JSON brut ;</w:t>
      </w:r>
    </w:p>
    <w:p>
      <w:pPr>
        <w:pStyle w:val="ListParagraph"/>
        <w:numPr>
          <w:ilvl w:val="0"/>
          <w:numId w:val="1"/>
        </w:numPr>
        <w:spacing w:after="80" w:line="264"/>
      </w:pPr>
      <w:r>
        <w:rPr>
          <w:rFonts w:ascii="Calibri" w:cs="Calibri" w:eastAsia="Calibri" w:hAnsi="Calibri"/>
          <w:sz w:val="22"/>
          <w:szCs w:val="22"/>
        </w:rPr>
        <w:t xml:space="preserve">l'interface est cohérente et responsive.</w:t>
      </w:r>
    </w:p>
    <w:p>
      <w:pPr>
        <w:pStyle w:val="Heading1"/>
        <w:pBdr>
          <w:bottom w:val="single" w:color="16215A" w:sz="8" w:space="4"/>
        </w:pBdr>
        <w:spacing w:after="200" w:before="400"/>
      </w:pPr>
      <w:r>
        <w:rPr>
          <w:rFonts w:ascii="Calibri" w:cs="Calibri" w:eastAsia="Calibri" w:hAnsi="Calibri"/>
          <w:b/>
          <w:bCs/>
          <w:color w:val="16215A"/>
          <w:sz w:val="30"/>
          <w:szCs w:val="30"/>
        </w:rPr>
        <w:t xml:space="preserve">20. Scénario de démonstration recommandé</w:t>
      </w:r>
    </w:p>
    <w:p>
      <w:pPr>
        <w:spacing w:after="80" w:line="264"/>
      </w:pPr>
      <w:r>
        <w:rPr>
          <w:rFonts w:ascii="Calibri" w:cs="Calibri" w:eastAsia="Calibri" w:hAnsi="Calibri"/>
          <w:sz w:val="22"/>
          <w:szCs w:val="22"/>
        </w:rPr>
        <w:t xml:space="preserve">1. Ouvrir le dashboard SOC et présenter la vue d'ensemble.</w:t>
      </w:r>
    </w:p>
    <w:p>
      <w:pPr>
        <w:spacing w:after="80" w:line="264"/>
      </w:pPr>
      <w:r>
        <w:rPr>
          <w:rFonts w:ascii="Calibri" w:cs="Calibri" w:eastAsia="Calibri" w:hAnsi="Calibri"/>
          <w:sz w:val="22"/>
          <w:szCs w:val="22"/>
        </w:rPr>
        <w:t xml:space="preserve">2. Montrer la répartition des risques et les indicateurs clés.</w:t>
      </w:r>
    </w:p>
    <w:p>
      <w:pPr>
        <w:spacing w:after="80" w:line="264"/>
      </w:pPr>
      <w:r>
        <w:rPr>
          <w:rFonts w:ascii="Calibri" w:cs="Calibri" w:eastAsia="Calibri" w:hAnsi="Calibri"/>
          <w:sz w:val="22"/>
          <w:szCs w:val="22"/>
        </w:rPr>
        <w:t xml:space="preserve">3. Lancer le simulateur porteur marocain, scénario « Achat normal » (Marjane, 180 MAD).</w:t>
      </w:r>
    </w:p>
    <w:p>
      <w:pPr>
        <w:spacing w:after="80" w:line="264"/>
      </w:pPr>
      <w:r>
        <w:rPr>
          <w:rFonts w:ascii="Calibri" w:cs="Calibri" w:eastAsia="Calibri" w:hAnsi="Calibri"/>
          <w:sz w:val="22"/>
          <w:szCs w:val="22"/>
        </w:rPr>
        <w:t xml:space="preserve">4. Montrer le score obtenu (≈ 35) et l'approbation automatique en moins de 400 ms.</w:t>
      </w:r>
    </w:p>
    <w:p>
      <w:pPr>
        <w:spacing w:after="80" w:line="264"/>
      </w:pPr>
      <w:r>
        <w:rPr>
          <w:rFonts w:ascii="Calibri" w:cs="Calibri" w:eastAsia="Calibri" w:hAnsi="Calibri"/>
          <w:sz w:val="22"/>
          <w:szCs w:val="22"/>
        </w:rPr>
        <w:t xml:space="preserve">5. Lancer le scénario « Vélocité suspecte » ou « Voyage impossible ».</w:t>
      </w:r>
    </w:p>
    <w:p>
      <w:pPr>
        <w:spacing w:after="80" w:line="264"/>
      </w:pPr>
      <w:r>
        <w:rPr>
          <w:rFonts w:ascii="Calibri" w:cs="Calibri" w:eastAsia="Calibri" w:hAnsi="Calibri"/>
          <w:sz w:val="22"/>
          <w:szCs w:val="22"/>
        </w:rPr>
        <w:t xml:space="preserve">6. Montrer le score critique (≈ 88-95) et l'alerte dispatchée en direct.</w:t>
      </w:r>
    </w:p>
    <w:p>
      <w:pPr>
        <w:spacing w:after="80" w:line="264"/>
      </w:pPr>
      <w:r>
        <w:rPr>
          <w:rFonts w:ascii="Calibri" w:cs="Calibri" w:eastAsia="Calibri" w:hAnsi="Calibri"/>
          <w:sz w:val="22"/>
          <w:szCs w:val="22"/>
        </w:rPr>
        <w:t xml:space="preserve">7. Ouvrir le diagnostic IA et lire la synthèse explicative générée.</w:t>
      </w:r>
    </w:p>
    <w:p>
      <w:pPr>
        <w:spacing w:after="80" w:line="264"/>
      </w:pPr>
      <w:r>
        <w:rPr>
          <w:rFonts w:ascii="Calibri" w:cs="Calibri" w:eastAsia="Calibri" w:hAnsi="Calibri"/>
          <w:sz w:val="22"/>
          <w:szCs w:val="22"/>
        </w:rPr>
        <w:t xml:space="preserve">8. Ouvrir la console d'arbitrage et confirmer la fraude.</w:t>
      </w:r>
    </w:p>
    <w:p>
      <w:pPr>
        <w:spacing w:after="80" w:line="264"/>
      </w:pPr>
      <w:r>
        <w:rPr>
          <w:rFonts w:ascii="Calibri" w:cs="Calibri" w:eastAsia="Calibri" w:hAnsi="Calibri"/>
          <w:sz w:val="22"/>
          <w:szCs w:val="22"/>
        </w:rPr>
        <w:t xml:space="preserve">9. Revenir au dashboard et montrer la mise à jour immédiate des indicateurs.</w:t>
      </w:r>
    </w:p>
    <w:p>
      <w:pPr>
        <w:pStyle w:val="Heading1"/>
        <w:pBdr>
          <w:bottom w:val="single" w:color="16215A" w:sz="8" w:space="4"/>
        </w:pBdr>
        <w:spacing w:after="200" w:before="400"/>
      </w:pPr>
      <w:r>
        <w:rPr>
          <w:rFonts w:ascii="Calibri" w:cs="Calibri" w:eastAsia="Calibri" w:hAnsi="Calibri"/>
          <w:b/>
          <w:bCs/>
          <w:color w:val="16215A"/>
          <w:sz w:val="30"/>
          <w:szCs w:val="30"/>
        </w:rPr>
        <w:t xml:space="preserve">21. Limites du prototype</w:t>
      </w:r>
    </w:p>
    <w:p>
      <w:pPr>
        <w:spacing w:after="160" w:line="276"/>
      </w:pPr>
      <w:r>
        <w:rPr>
          <w:rFonts w:ascii="Calibri" w:cs="Calibri" w:eastAsia="Calibri" w:hAnsi="Calibri"/>
          <w:sz w:val="22"/>
          <w:szCs w:val="22"/>
        </w:rPr>
        <w:t xml:space="preserve">Le prototype est conçu pour démontrer une chaîne fonctionnelle complète et explicable. Il ne constitue pas :</w:t>
      </w:r>
    </w:p>
    <w:p>
      <w:pPr>
        <w:pStyle w:val="ListParagraph"/>
        <w:numPr>
          <w:ilvl w:val="0"/>
          <w:numId w:val="1"/>
        </w:numPr>
        <w:spacing w:after="80" w:line="264"/>
      </w:pPr>
      <w:r>
        <w:rPr>
          <w:rFonts w:ascii="Calibri" w:cs="Calibri" w:eastAsia="Calibri" w:hAnsi="Calibri"/>
          <w:sz w:val="22"/>
          <w:szCs w:val="22"/>
        </w:rPr>
        <w:t xml:space="preserve">un système de production connecté à un véritable Core Banking bancaire ;</w:t>
      </w:r>
    </w:p>
    <w:p>
      <w:pPr>
        <w:pStyle w:val="ListParagraph"/>
        <w:numPr>
          <w:ilvl w:val="0"/>
          <w:numId w:val="1"/>
        </w:numPr>
        <w:spacing w:after="80" w:line="264"/>
      </w:pPr>
      <w:r>
        <w:rPr>
          <w:rFonts w:ascii="Calibri" w:cs="Calibri" w:eastAsia="Calibri" w:hAnsi="Calibri"/>
          <w:sz w:val="22"/>
          <w:szCs w:val="22"/>
        </w:rPr>
        <w:t xml:space="preserve">une preuve d'efficacité mesurée en conditions réelles à grande échelle ;</w:t>
      </w:r>
    </w:p>
    <w:p>
      <w:pPr>
        <w:pStyle w:val="ListParagraph"/>
        <w:numPr>
          <w:ilvl w:val="0"/>
          <w:numId w:val="1"/>
        </w:numPr>
        <w:spacing w:after="80" w:line="264"/>
      </w:pPr>
      <w:r>
        <w:rPr>
          <w:rFonts w:ascii="Calibri" w:cs="Calibri" w:eastAsia="Calibri" w:hAnsi="Calibri"/>
          <w:sz w:val="22"/>
          <w:szCs w:val="22"/>
        </w:rPr>
        <w:t xml:space="preserve">un système de décision disciplinaire, judiciaire ou de recouvrement ;</w:t>
      </w:r>
    </w:p>
    <w:p>
      <w:pPr>
        <w:pStyle w:val="ListParagraph"/>
        <w:numPr>
          <w:ilvl w:val="0"/>
          <w:numId w:val="1"/>
        </w:numPr>
        <w:spacing w:after="80" w:line="264"/>
      </w:pPr>
      <w:r>
        <w:rPr>
          <w:rFonts w:ascii="Calibri" w:cs="Calibri" w:eastAsia="Calibri" w:hAnsi="Calibri"/>
          <w:sz w:val="22"/>
          <w:szCs w:val="22"/>
        </w:rPr>
        <w:t xml:space="preserve">un substitut au jugement de l'analyste sécurité ou du responsable conformité ;</w:t>
      </w:r>
    </w:p>
    <w:p>
      <w:pPr>
        <w:pStyle w:val="ListParagraph"/>
        <w:numPr>
          <w:ilvl w:val="0"/>
          <w:numId w:val="1"/>
        </w:numPr>
        <w:spacing w:after="80" w:line="264"/>
      </w:pPr>
      <w:r>
        <w:rPr>
          <w:rFonts w:ascii="Calibri" w:cs="Calibri" w:eastAsia="Calibri" w:hAnsi="Calibri"/>
          <w:sz w:val="22"/>
          <w:szCs w:val="22"/>
        </w:rPr>
        <w:t xml:space="preserve">un système ayant fait l'objet d'un audit réglementaire formel.</w:t>
      </w:r>
    </w:p>
    <w:p>
      <w:pPr>
        <w:pStyle w:val="Heading1"/>
        <w:pBdr>
          <w:bottom w:val="single" w:color="16215A" w:sz="8" w:space="4"/>
        </w:pBdr>
        <w:spacing w:after="200" w:before="400"/>
      </w:pPr>
      <w:r>
        <w:rPr>
          <w:rFonts w:ascii="Calibri" w:cs="Calibri" w:eastAsia="Calibri" w:hAnsi="Calibri"/>
          <w:b/>
          <w:bCs/>
          <w:color w:val="16215A"/>
          <w:sz w:val="30"/>
          <w:szCs w:val="30"/>
        </w:rPr>
        <w:t xml:space="preserve">22. Livrable cible</w:t>
      </w:r>
    </w:p>
    <w:p>
      <w:pPr>
        <w:spacing w:after="160" w:line="276"/>
      </w:pPr>
      <w:r>
        <w:rPr>
          <w:rFonts w:ascii="Calibri" w:cs="Calibri" w:eastAsia="Calibri" w:hAnsi="Calibri"/>
          <w:sz w:val="22"/>
          <w:szCs w:val="22"/>
        </w:rPr>
        <w:t xml:space="preserve">Le livrable final comprend :</w:t>
      </w:r>
    </w:p>
    <w:p>
      <w:pPr>
        <w:pStyle w:val="ListParagraph"/>
        <w:numPr>
          <w:ilvl w:val="0"/>
          <w:numId w:val="1"/>
        </w:numPr>
        <w:spacing w:after="80" w:line="264"/>
      </w:pPr>
      <w:r>
        <w:rPr>
          <w:rFonts w:ascii="Calibri" w:cs="Calibri" w:eastAsia="Calibri" w:hAnsi="Calibri"/>
          <w:sz w:val="22"/>
          <w:szCs w:val="22"/>
        </w:rPr>
        <w:t xml:space="preserve">une application web BankShield AI opérationnelle ;</w:t>
      </w:r>
    </w:p>
    <w:p>
      <w:pPr>
        <w:pStyle w:val="ListParagraph"/>
        <w:numPr>
          <w:ilvl w:val="0"/>
          <w:numId w:val="1"/>
        </w:numPr>
        <w:spacing w:after="80" w:line="264"/>
      </w:pPr>
      <w:r>
        <w:rPr>
          <w:rFonts w:ascii="Calibri" w:cs="Calibri" w:eastAsia="Calibri" w:hAnsi="Calibri"/>
          <w:sz w:val="22"/>
          <w:szCs w:val="22"/>
        </w:rPr>
        <w:t xml:space="preserve">trois workflows Fusion AI intégrés (scoring, diagnostic, arbitrage) ;</w:t>
      </w:r>
    </w:p>
    <w:p>
      <w:pPr>
        <w:pStyle w:val="ListParagraph"/>
        <w:numPr>
          <w:ilvl w:val="0"/>
          <w:numId w:val="1"/>
        </w:numPr>
        <w:spacing w:after="80" w:line="264"/>
      </w:pPr>
      <w:r>
        <w:rPr>
          <w:rFonts w:ascii="Calibri" w:cs="Calibri" w:eastAsia="Calibri" w:hAnsi="Calibri"/>
          <w:sz w:val="22"/>
          <w:szCs w:val="22"/>
        </w:rPr>
        <w:t xml:space="preserve">une base PostgreSQL / Supabase ;</w:t>
      </w:r>
    </w:p>
    <w:p>
      <w:pPr>
        <w:pStyle w:val="ListParagraph"/>
        <w:numPr>
          <w:ilvl w:val="0"/>
          <w:numId w:val="1"/>
        </w:numPr>
        <w:spacing w:after="80" w:line="264"/>
      </w:pPr>
      <w:r>
        <w:rPr>
          <w:rFonts w:ascii="Calibri" w:cs="Calibri" w:eastAsia="Calibri" w:hAnsi="Calibri"/>
          <w:sz w:val="22"/>
          <w:szCs w:val="22"/>
        </w:rPr>
        <w:t xml:space="preserve">un scoring en temps réel (&lt; 400 ms) et un diagnostic IA explicatif ;</w:t>
      </w:r>
    </w:p>
    <w:p>
      <w:pPr>
        <w:pStyle w:val="ListParagraph"/>
        <w:numPr>
          <w:ilvl w:val="0"/>
          <w:numId w:val="1"/>
        </w:numPr>
        <w:spacing w:after="80" w:line="264"/>
      </w:pPr>
      <w:r>
        <w:rPr>
          <w:rFonts w:ascii="Calibri" w:cs="Calibri" w:eastAsia="Calibri" w:hAnsi="Calibri"/>
          <w:sz w:val="22"/>
          <w:szCs w:val="22"/>
        </w:rPr>
        <w:t xml:space="preserve">un dashboard SOC (KPI, alertes, console d'arbitrage) ;</w:t>
      </w:r>
    </w:p>
    <w:p>
      <w:pPr>
        <w:pStyle w:val="ListParagraph"/>
        <w:numPr>
          <w:ilvl w:val="0"/>
          <w:numId w:val="1"/>
        </w:numPr>
        <w:spacing w:after="80" w:line="264"/>
      </w:pPr>
      <w:r>
        <w:rPr>
          <w:rFonts w:ascii="Calibri" w:cs="Calibri" w:eastAsia="Calibri" w:hAnsi="Calibri"/>
          <w:sz w:val="22"/>
          <w:szCs w:val="22"/>
        </w:rPr>
        <w:t xml:space="preserve">un simulateur de porteur marocain avec scénarios de test ;</w:t>
      </w:r>
    </w:p>
    <w:p>
      <w:pPr>
        <w:pStyle w:val="ListParagraph"/>
        <w:numPr>
          <w:ilvl w:val="0"/>
          <w:numId w:val="1"/>
        </w:numPr>
        <w:spacing w:after="80" w:line="264"/>
      </w:pPr>
      <w:r>
        <w:rPr>
          <w:rFonts w:ascii="Calibri" w:cs="Calibri" w:eastAsia="Calibri" w:hAnsi="Calibri"/>
          <w:sz w:val="22"/>
          <w:szCs w:val="22"/>
        </w:rPr>
        <w:t xml:space="preserve">la traçabilité des décisions principales.</w:t>
      </w:r>
    </w:p>
    <w:p>
      <w:pPr>
        <w:pStyle w:val="Heading2"/>
        <w:spacing w:after="140" w:before="260"/>
      </w:pPr>
      <w:r>
        <w:rPr>
          <w:rFonts w:ascii="Calibri" w:cs="Calibri" w:eastAsia="Calibri" w:hAnsi="Calibri"/>
          <w:b/>
          <w:bCs/>
          <w:color w:val="2563EB"/>
          <w:sz w:val="24"/>
          <w:szCs w:val="24"/>
        </w:rPr>
        <w:t xml:space="preserve">Références de conception</w:t>
      </w:r>
    </w:p>
    <w:p>
      <w:pPr>
        <w:pStyle w:val="ListParagraph"/>
        <w:numPr>
          <w:ilvl w:val="0"/>
          <w:numId w:val="1"/>
        </w:numPr>
        <w:spacing w:after="80" w:line="264"/>
      </w:pPr>
      <w:r>
        <w:rPr>
          <w:rFonts w:ascii="Calibri" w:cs="Calibri" w:eastAsia="Calibri" w:hAnsi="Calibri"/>
          <w:sz w:val="22"/>
          <w:szCs w:val="22"/>
        </w:rPr>
        <w:t xml:space="preserve">Cas d'usage officiel : Sujet 6 — Détection d'opérations bancaires inhabituelles</w:t>
      </w:r>
    </w:p>
    <w:p>
      <w:pPr>
        <w:pStyle w:val="ListParagraph"/>
        <w:numPr>
          <w:ilvl w:val="0"/>
          <w:numId w:val="1"/>
        </w:numPr>
        <w:spacing w:after="80" w:line="264"/>
      </w:pPr>
      <w:r>
        <w:rPr>
          <w:rFonts w:ascii="Calibri" w:cs="Calibri" w:eastAsia="Calibri" w:hAnsi="Calibri"/>
          <w:sz w:val="22"/>
          <w:szCs w:val="22"/>
        </w:rPr>
        <w:t xml:space="preserve">Workflow 1 : workflow_1_realtime_scoring</w:t>
      </w:r>
    </w:p>
    <w:p>
      <w:pPr>
        <w:pStyle w:val="ListParagraph"/>
        <w:numPr>
          <w:ilvl w:val="0"/>
          <w:numId w:val="1"/>
        </w:numPr>
        <w:spacing w:after="80" w:line="264"/>
      </w:pPr>
      <w:r>
        <w:rPr>
          <w:rFonts w:ascii="Calibri" w:cs="Calibri" w:eastAsia="Calibri" w:hAnsi="Calibri"/>
          <w:sz w:val="22"/>
          <w:szCs w:val="22"/>
        </w:rPr>
        <w:t xml:space="preserve">Workflow 2 : workflow_2_ai_diagnostic_agent</w:t>
      </w:r>
    </w:p>
    <w:p>
      <w:pPr>
        <w:pStyle w:val="ListParagraph"/>
        <w:numPr>
          <w:ilvl w:val="0"/>
          <w:numId w:val="1"/>
        </w:numPr>
        <w:spacing w:after="80" w:line="264"/>
      </w:pPr>
      <w:r>
        <w:rPr>
          <w:rFonts w:ascii="Calibri" w:cs="Calibri" w:eastAsia="Calibri" w:hAnsi="Calibri"/>
          <w:sz w:val="22"/>
          <w:szCs w:val="22"/>
        </w:rPr>
        <w:t xml:space="preserve">Workflow 3 : workflow_3_analyst_arbitration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C"/>
        <w:sz w:val="18"/>
        <w:szCs w:val="18"/>
      </w:rPr>
      <w:t xml:space="preserve">Page </w:t>
    </w:r>
    <w:r>
      <w:rPr>
        <w:rFonts w:ascii="Calibri" w:cs="Calibri" w:eastAsia="Calibri" w:hAnsi="Calibri"/>
        <w:color w:val="5B6B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F5" w:sz="4" w:space="4"/>
      </w:pBdr>
      <w:jc w:val="right"/>
    </w:pPr>
    <w:r>
      <w:rPr>
        <w:rFonts w:ascii="Calibri" w:cs="Calibri" w:eastAsia="Calibri" w:hAnsi="Calibri"/>
        <w:color w:val="5B6B8C"/>
        <w:sz w:val="16"/>
        <w:szCs w:val="16"/>
      </w:rPr>
      <w:t xml:space="preserve">BankShield AI — Cahier des charges — Sujet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2026-09-15T22:20:06.329Z</dcterms:created>
  <dcterms:modified xsi:type="dcterms:W3CDTF">2026-09-15T22:20:06.330Z</dcterms:modified>
</cp:coreProperties>
</file>

<file path=docProps/custom.xml><?xml version="1.0" encoding="utf-8"?>
<Properties xmlns="http://schemas.openxmlformats.org/officeDocument/2006/custom-properties" xmlns:vt="http://schemas.openxmlformats.org/officeDocument/2006/docPropsVTypes"/>
</file>