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TP3 : Système RAG (Retrieval-Augmented Generation)</w:t>
      </w:r>
    </w:p>
    <w:p>
      <w:pPr>
        <w:spacing w:after="240"/>
        <w:jc w:val="center"/>
      </w:pPr>
      <w:r>
        <w:rPr>
          <w:color w:val="444444"/>
          <w:sz w:val="28"/>
          <w:szCs w:val="28"/>
        </w:rPr>
        <w:t xml:space="preserve">Document de réponses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Étudiante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Jihane Salek (Master Intelligence Artificielle et Digital Computing, FST Béni Mellal)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indexé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CV (1 page) : pdfs/cv.pdf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du RAG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gemini-3.1-flash-lite (température 0)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juge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gemini-3-flash-preview (température 0)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gemini-embedding-001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vectorielle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 (persistance dans ./store)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Découpage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RecursiveCharacterTextSplitter + tiktoken (o200k_base) : 300 tokens, overlap 20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t xml:space="preserve">0. Préparation de l’environnement</w:t>
      </w:r>
    </w:p>
    <w:p>
      <w:pPr>
        <w:spacing w:after="120"/>
      </w:pPr>
      <w:r>
        <w:t xml:space="preserve">L’environnement est géré avec uv (uv init, uv venv, uv add …). Les paquets installés sont : langchain, langchain-text-splitters, langchain-community, pypdf, tiktoken, chromadb, langchain-chroma, python-dotenv, pandas et langchain-google-genai. La clé API est stockée dans un fichier .env (non publié sur GitHub grâce au .gitignore) et lue avec python-dotenv.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885950"/>
            <wp:effectExtent t="0" r="0" b="0" l="0"/>
            <wp:docPr id="1" name="env" descr="Figure 1 : imports et chargement de la clé (Clé Gemini trouvée : True)" title="Figure 1 : imports et chargement de la clé (Clé Gemini trouvée : Tru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: imports et chargement de la clé (Clé Gemini trouvée : True)</w:t>
      </w:r>
    </w:p>
    <w:p>
      <w:pPr>
        <w:spacing w:after="120"/>
      </w:pPr>
      <w:r>
        <w:t xml:space="preserve">Comme je n’ai pas de clé OpenAI, j’ai utilisé Gemini pour le LLM, le juge et les embeddings. Les modèles Gemini 3 renvoient leur réponse sous forme de blocs ; j’ai donc ajouté une petite fonction to_text() qui en extrait le texte. Le test d’appel (« Dis bonjour en une phrase ») confirme que la clé fonctionne.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provider" descr="Figure 2 : configuration du LLM, du juge et des embeddings (Gemini)" title="Figure 2 : configuration du LLM, du juge et des embeddings (Gemin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: configuration du LLM, du juge et des embeddings (Gemini)</w:t>
      </w:r>
    </w:p>
    <w:p>
      <w:pPr>
        <w:pStyle w:val="Heading1"/>
        <w:spacing w:after="120" w:before="320"/>
      </w:pPr>
      <w:r>
        <w:t xml:space="preserve">1. Chargement du PDF et découpage en chunks</w:t>
      </w:r>
    </w:p>
    <w:p>
      <w:pPr>
        <w:spacing w:after="120"/>
      </w:pPr>
      <w:r>
        <w:t xml:space="preserve">J’ai remplacé le PDF du cours par mon CV. PyPDFLoader charge le fichier page par page : mon CV contient </w:t>
      </w:r>
      <w:r>
        <w:rPr>
          <w:b/>
          <w:bCs/>
        </w:rPr>
        <w:t xml:space="preserve">1 page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933575"/>
            <wp:effectExtent t="0" r="0" b="0" l="0"/>
            <wp:docPr id="1" name="loading" descr="Figure 3 : chargement du CV (Nombre de pages : 1)" title="Figure 3 : chargement du CV (Nombre de pages :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: chargement du CV (Nombre de pages : 1)</w:t>
      </w:r>
    </w:p>
    <w:p>
      <w:pPr>
        <w:spacing w:after="120"/>
      </w:pPr>
      <w:r>
        <w:t xml:space="preserve">Le découpage se fait avec RecursiveCharacterTextSplitter et l’encodeur tiktoken o200k_base (chunks de 300 tokens, chevauchement de 20 tokens). Résultat : </w:t>
      </w:r>
      <w:r>
        <w:rPr>
          <w:b/>
          <w:bCs/>
        </w:rPr>
        <w:t xml:space="preserve">5 chunks</w:t>
      </w:r>
      <w:r>
        <w:t xml:space="preserve">. Le chevauchement évite de couper une information entre deux chunks : la fin d’un chunk est répétée au début du suivant. Sur la capture ci-dessous, mon email et mon téléphone ont été masqués.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chunks" descr="Figure 4 : 5 chunks obtenus et exemple du premier chunk (coordonnées masquées)" title="Figure 4 : 5 chunks obtenus et exemple du premier chunk (coordonnées masqué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: 5 chunks obtenus et exemple du premier chunk (coordonnées masquées)</w:t>
      </w:r>
    </w:p>
    <w:p>
      <w:pPr>
        <w:pStyle w:val="Heading1"/>
        <w:spacing w:after="120" w:before="320"/>
      </w:pPr>
      <w:r>
        <w:t xml:space="preserve">2. Vector store : ChromaDB et embeddings</w:t>
      </w:r>
    </w:p>
    <w:p>
      <w:pPr>
        <w:spacing w:after="120"/>
      </w:pPr>
      <w:r>
        <w:t xml:space="preserve">Chaque chunk est transformé en vecteur par le modèle d’embedding (gemini-embedding-001) puis stocké dans une collection ChromaDB (cv_jihane, dans le dossier ./store). Deux textes de sens proche ont des vecteurs proches, ce qui permet de chercher par similarité. Avant l’indexation, la collection est supprimée si elle existe, pour éviter les doublons à chaque exécution. Résultat : </w:t>
      </w:r>
      <w:r>
        <w:rPr>
          <w:b/>
          <w:bCs/>
        </w:rPr>
        <w:t xml:space="preserve">5 chunks indexés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05025"/>
            <wp:effectExtent t="0" r="0" b="0" l="0"/>
            <wp:docPr id="1" name="vector" descr="Figure 5 : indexation dans Chroma (Chunks indexés : 5)" title="Figure 5 : indexation dans Chroma (Chunks indexés : 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: indexation dans Chroma (Chunks indexés : 5)</w:t>
      </w:r>
    </w:p>
    <w:p>
      <w:pPr>
        <w:pStyle w:val="Heading1"/>
        <w:spacing w:after="120" w:before="320"/>
      </w:pPr>
      <w:r>
        <w:t xml:space="preserve">3. Retriever</w:t>
      </w:r>
    </w:p>
    <w:p>
      <w:pPr>
        <w:spacing w:after="120"/>
      </w:pPr>
      <w:r>
        <w:t xml:space="preserve">Le retriever transforme la question en vecteur et renvoie les k chunks les plus proches (search_type="similarity", k = 5). Pour la question « Quelles sont mes compétences techniques ? », il renvoie bien </w:t>
      </w:r>
      <w:r>
        <w:rPr>
          <w:b/>
          <w:bCs/>
        </w:rPr>
        <w:t xml:space="preserve">5 chunks</w:t>
      </w:r>
      <w:r>
        <w:t xml:space="preserve">, dont celui contenant les langages, frameworks et outils.</w:t>
      </w:r>
    </w:p>
    <w:p>
      <w:pPr>
        <w:spacing w:after="120"/>
      </w:pPr>
      <w:r>
        <w:rPr>
          <w:b/>
          <w:bCs/>
        </w:rPr>
        <w:t xml:space="preserve">Erreur repérée dans le notebook de départ : </w:t>
      </w:r>
      <w:r>
        <w:t xml:space="preserve">la ligne search_Kwargs={'k',5} ne fonctionne pas : le nom du paramètre est mal écrit (search_kwargs) et {'k',5} est un ensemble (set) Python au lieu d’un dictionnaire. Le paramètre k était donc ignoré et le retriever renvoyait 4 chunks (valeur par défaut) au lieu de 5. Corrigé en search_kwargs={"k": 5}.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retriever" descr="Figure 6 : retriever avec k = 5 (Nombre de chunks récupérés : 5)" title="Figure 6 : retriever avec k = 5 (Nombre de chunks récupérés : 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: retriever avec k = 5 (Nombre de chunks récupérés : 5)</w:t>
      </w:r>
    </w:p>
    <w:p>
      <w:pPr>
        <w:pStyle w:val="Heading1"/>
        <w:spacing w:after="120" w:before="320"/>
      </w:pPr>
      <w:r>
        <w:t xml:space="preserve">4. Prompt design</w:t>
      </w:r>
    </w:p>
    <w:p>
      <w:pPr>
        <w:spacing w:after="120"/>
      </w:pPr>
      <w:r>
        <w:t xml:space="preserve">Le prompt contient : (1) un message système qui impose de répondre uniquement à partir du contexte et dans la langue de la question, (2) le contexte délimité par les balises &lt;context&gt;, (3) la question délimitée par &lt;question&gt;. Pour limiter les hallucinations, il demande de répondre exactement « Je ne sais pas ! » si la réponse n’est pas dans le contexte.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314575"/>
            <wp:effectExtent t="0" r="0" b="0" l="0"/>
            <wp:docPr id="1" name="prompt" descr="Figure 7 : prompt_template" title="Figure 7 : prompt_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: prompt_template</w:t>
      </w:r>
    </w:p>
    <w:p>
      <w:pPr>
        <w:spacing w:after="120"/>
      </w:pPr>
      <w:r>
        <w:t xml:space="preserve">Les chunks récupérés sont convertis en liste de textes, concaténés avec le séparateur « . » pour former le contexte, puis injectés dans le template avec format().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14650"/>
            <wp:effectExtent t="0" r="0" b="0" l="0"/>
            <wp:docPr id="1" name="userinput" descr="Figure 8 : prompt final envoyé au LLM (question + contexte issu du CV)" title="Figure 8 : prompt final envoyé au LLM (question + contexte issu du C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 : prompt final envoyé au LLM (question + contexte issu du CV)</w:t>
      </w:r>
    </w:p>
    <w:p>
      <w:pPr>
        <w:pStyle w:val="Heading1"/>
        <w:spacing w:after="120" w:before="320"/>
      </w:pPr>
      <w:r>
        <w:t xml:space="preserve">5. Réponse du LLM</w:t>
      </w:r>
    </w:p>
    <w:p>
      <w:pPr>
        <w:spacing w:after="120"/>
      </w:pPr>
      <w:r>
        <w:t xml:space="preserve">Le prompt est envoyé au LLM. La réponse est fidèle au CV : langages, frameworks IA, Big Data / Web, bases de données et outils, domaines d’expertise.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990725"/>
            <wp:effectExtent t="0" r="0" b="0" l="0"/>
            <wp:docPr id="1" name="reponse" descr="Figure 9 : réponse du LLM à « Quelles sont mes compétences techniques ? »" title="Figure 9 : réponse du LLM à « Quelles sont mes compétences techniques ?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 : réponse du LLM à « Quelles sont mes compétences techniques ? »</w:t>
      </w:r>
    </w:p>
    <w:p>
      <w:pPr>
        <w:pStyle w:val="Heading1"/>
        <w:spacing w:after="120" w:before="320"/>
      </w:pPr>
      <w:r>
        <w:t xml:space="preserve">6. Regroupement dans une fonction RAG</w:t>
      </w:r>
    </w:p>
    <w:p>
      <w:pPr>
        <w:spacing w:after="120"/>
      </w:pPr>
      <w:r>
        <w:t xml:space="preserve">Toutes les étapes sont regroupées dans la fonction RAG(query) : retriever, concaténation du contexte, construction du prompt, appel du LLM, retour de la réponse. Test : « Quel est mon parcours académique ? » donne bien mon Master, ma Licence, mon DEUST et mon Baccalauréat.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57450"/>
            <wp:effectExtent t="0" r="0" b="0" l="0"/>
            <wp:docPr id="1" name="rag_fct" descr="Figure 10 : fonction RAG et premier test" title="Figure 10 : fonction RAG et premier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10 : fonction RAG et premier test</w:t>
      </w:r>
    </w:p>
    <w:p>
      <w:pPr>
        <w:spacing w:after="120"/>
      </w:pPr>
      <w:r>
        <w:t xml:space="preserve">J’ai ensuite testé 4 questions, dont une hors contexte (« Quelle est la capitale de l’Australie ? ») pour vérifier la gestion des hallucinations. Le RAG répond à partir du CV pour les trois premières, et répond « Je ne sais pas ! » pour la question hors contexte (voir le tableau de la section 7).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tests" descr="Figure 11 : tests sur mon CV" title="Figure 11 : tests sur mon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11 : tests sur mon CV</w:t>
      </w:r>
    </w:p>
    <w:p>
      <w:pPr>
        <w:pStyle w:val="Heading1"/>
        <w:spacing w:after="120" w:before="320"/>
      </w:pPr>
      <w:r>
        <w:t xml:space="preserve">7. Évaluation de la réponse du LLM (LLM-as-a-judge)</w:t>
      </w:r>
    </w:p>
    <w:p>
      <w:pPr>
        <w:spacing w:after="120"/>
      </w:pPr>
      <w:r>
        <w:t xml:space="preserve">Un second LLM joue le rôle de juge : on lui donne la question, le contexte récupéré et la réponse du RAG, et il note la </w:t>
      </w:r>
      <w:r>
        <w:rPr>
          <w:b/>
          <w:bCs/>
        </w:rPr>
        <w:t xml:space="preserve">groundedness</w:t>
      </w:r>
      <w:r>
        <w:t xml:space="preserve"> (la réponse est-elle dérivée uniquement du contexte ?) de 1 à 5.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archi" descr="Figure 12 : architecture de l’évaluation (RAG, VectorDB, LLM1, JudgeLLM)" title="Figure 12 : architecture de l’évaluation (RAG, VectorDB, LLM1, JudgeLL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12 : architecture de l’évaluation (RAG, VectorDB, LLM1, JudgeLLM)</w:t>
      </w:r>
    </w:p>
    <w:p>
      <w:pPr>
        <w:spacing w:after="120"/>
      </w:pPr>
      <w:r>
        <w:t xml:space="preserve">Le prompt du juge décrit l’échelle de 1 à 5, demande d’écrire les étapes d’évaluation puis le score. J’y ai ajouté la consigne « Terminez TOUJOURS par une dernière ligne au format exact : Score: X » pour extraire automatiquement la note avec une expression régulière.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groundedness" descr="Figure 13 : prompt du juge (groundness_rater_system_message)" title="Figure 13 : prompt du juge (groundness_rater_system_messa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13 : prompt du juge (groundness_rater_system_message)</w:t>
      </w:r>
    </w:p>
    <w:p>
      <w:pPr>
        <w:spacing w:after="120"/>
      </w:pPr>
      <w:r>
        <w:t xml:space="preserve">La fonction evaluate() récupère le contexte, appelle RAG(), construit le prompt du juge, l’envoie et renvoie la réponse du RAG et le verdict. extract_score() lit la note.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evaluate" descr="Figure 14 : fonctions evaluate() et extract_score(), appel sur la première question" title="Figure 14 : fonctions evaluate() et extract_score(), appel sur la première qu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14 : fonctions evaluate() et extract_score(), appel sur la première question</w:t>
      </w:r>
    </w:p>
    <w:p>
      <w:pPr>
        <w:spacing w:after="120"/>
      </w:pPr>
      <w:r>
        <w:rPr>
          <w:b/>
          <w:bCs/>
        </w:rPr>
        <w:t xml:space="preserve">Remarque sur le juge : </w:t>
      </w:r>
      <w:r>
        <w:t xml:space="preserve">le modèle gemini-3.1-pro-preview, prévu au départ comme juge plus puissant, a renvoyé une erreur avec ma clé. J’ai donc utilisé gemini-3-flash-preview, un peu plus puissant que le LLM du RAG (gemini-3.1-flash-lite) mais moins que ce qui était prévu.</w:t>
      </w:r>
    </w:p>
    <w:p>
      <w:pPr>
        <w:spacing w:after="120"/>
      </w:pPr>
      <w:r>
        <w:rPr>
          <w:b/>
          <w:bCs/>
        </w:rPr>
        <w:t xml:space="preserve">Résultats sur les 4 questions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638"/>
        <w:gridCol w:w="10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Réponse du RAG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Quelles sont mes compétences techniques ?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fidèle des langages, frameworks et outils du CV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 est mon parcours académique ?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Master, Licence, DEUST, Baccalauréat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Quels projets ai-je réalisés ?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Projets décrits dans le CV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Quelle est la capitale de l’Australie ? (hors contexte)</w:t>
            </w:r>
          </w:p>
        </w:tc>
        <w:tc>
          <w:tcPr>
            <w:tcW w:type="dxa" w:w="4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ne sais pas !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table" descr="Figure 15 : évaluation de toutes les questions (tableau des scores)" title="Figure 15 : évaluation de toutes les questions (tableau des scor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15 : évaluation de toutes les questions (tableau des scores)</w:t>
      </w:r>
    </w:p>
    <w:p>
      <w:pPr>
        <w:spacing w:after="120"/>
      </w:pPr>
      <w:r>
        <w:rPr>
          <w:b/>
          <w:bCs/>
        </w:rPr>
        <w:t xml:space="preserve">Analyse : </w:t>
      </w:r>
      <w:r>
        <w:t xml:space="preserve">les 4 réponses obtiennent 5/5. Pour les trois questions sur le CV, c’est attendu : les réponses reprennent uniquement les informations du contexte. Pour la question hors contexte, la réponse « Je ne sais pas ! » obtient aussi 5/5, car elle n’invente rien : le prompt anti-hallucination a bien fonctionné. La note mesure la fidélité au contexte, pas l’exactitude générale de la réponse.</w:t>
      </w:r>
    </w:p>
    <w:p>
      <w:pPr>
        <w:pStyle w:val="Heading1"/>
        <w:spacing w:after="120" w:before="320"/>
      </w:pPr>
      <w:r>
        <w:t xml:space="preserve">8. Limites et 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 CV ne fait qu’une page : avec k = 5 et 5 chunks, le retriever renvoie presque tout le document, donc la recherche n’est pas vraiment sélective. Un document plus long (plusieurs pages) montrerait mieux l’intérêt du retrieval.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juge est lui-même un LLM de la même famille que le RAG et peut être indulgent : tous les scores à 5 méritent d’être vérifiés à la main, ou avec un juge plus puissant ou d’une autre famille.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seul critère (groundedness) est évalué : on pourrait ajouter la pertinence de la réponse et la qualité du retrieval.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Pistes : tester d’autres valeurs de chunk_size, overlap et k ; afficher les sources (page) avec chaque réponse ; comparer avec un modèle local via Ollama.</w:t>
      </w:r>
    </w:p>
    <w:p>
      <w:pPr>
        <w:pStyle w:val="Heading1"/>
        <w:spacing w:after="120" w:before="320"/>
      </w:pPr>
      <w:r>
        <w:t xml:space="preserve">Conclusion</w:t>
      </w:r>
    </w:p>
    <w:p>
      <w:pPr>
        <w:spacing w:after="120"/>
      </w:pPr>
      <w:r>
        <w:t xml:space="preserve">J’ai réalisé un système RAG complet sur mon CV : chargement, découpage (5 chunks), indexation dans ChromaDB, retrieval (k = 5), prompt avec règle anti-hallucination, génération avec Gemini, puis évaluation de la groundedness par un LLM-juge (5/5 sur les 4 questions). J’ai aussi identifié et corrigé une erreur dans le notebook de départ (search_Kwargs).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f95b778092f88422098098a8f05929245625b.png"/><Relationship Id="rId8" Type="http://schemas.openxmlformats.org/officeDocument/2006/relationships/image" Target="media/30ef6ae2df6755c90f0f52805ff335a6dbb1590f.png"/><Relationship Id="rId9" Type="http://schemas.openxmlformats.org/officeDocument/2006/relationships/image" Target="media/8268f2fda9462441e6ad2783a9325fbf82b7f417.png"/><Relationship Id="rId10" Type="http://schemas.openxmlformats.org/officeDocument/2006/relationships/image" Target="media/beffb5f5b06799115706482665435d1be44b2361.png"/><Relationship Id="rId11" Type="http://schemas.openxmlformats.org/officeDocument/2006/relationships/image" Target="media/baeafdbfe1f52acb6738c4e58e6773d59a8db95b.png"/><Relationship Id="rId12" Type="http://schemas.openxmlformats.org/officeDocument/2006/relationships/image" Target="media/6bb71874eb045909e077fc270aa5725be954b2aa.png"/><Relationship Id="rId13" Type="http://schemas.openxmlformats.org/officeDocument/2006/relationships/image" Target="media/8336171e784ee56f0a97734601af5cb1abbf705f.png"/><Relationship Id="rId14" Type="http://schemas.openxmlformats.org/officeDocument/2006/relationships/image" Target="media/b7e18287c572171c06c06ba327a3d35ebaa42aa5.png"/><Relationship Id="rId15" Type="http://schemas.openxmlformats.org/officeDocument/2006/relationships/image" Target="media/eea0821f472f8cb466692089f72dc9365270f52b.png"/><Relationship Id="rId16" Type="http://schemas.openxmlformats.org/officeDocument/2006/relationships/image" Target="media/29aa1bd19437c54ba0828d1e28bd957eba55622b.png"/><Relationship Id="rId17" Type="http://schemas.openxmlformats.org/officeDocument/2006/relationships/image" Target="media/089948f5c58b35ef6ffeefc8a5d85b17ae0ddb69.png"/><Relationship Id="rId18" Type="http://schemas.openxmlformats.org/officeDocument/2006/relationships/image" Target="media/5d80b4a4b54649e220ce6eda750714d820166241.png"/><Relationship Id="rId19" Type="http://schemas.openxmlformats.org/officeDocument/2006/relationships/image" Target="media/0d066e6058249ba3425d6dea7203ce718748b35c.png"/><Relationship Id="rId20" Type="http://schemas.openxmlformats.org/officeDocument/2006/relationships/image" Target="media/5cfc0bca0b35be97dbd9fd7f57eb7b2047b8c8f0.png"/><Relationship Id="rId21" Type="http://schemas.openxmlformats.org/officeDocument/2006/relationships/image" Target="media/b2b6a144bd025c33998678cf6bebaeb6e8b7a9a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2026-10-20T23:50:48.686Z</dcterms:created>
  <dcterms:modified xsi:type="dcterms:W3CDTF">2026-10-20T23:50:48.691Z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