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drawing>
          <wp:inline distT="0" distB="0" distL="0" distR="0">
            <wp:extent cx="2476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524000"/>
                    </a:xfrm>
                    <a:prstGeom prst="rect">
                      <a:avLst/>
                    </a:prstGeom>
                  </pic:spPr>
                </pic:pic>
              </a:graphicData>
            </a:graphic>
          </wp:inline>
        </w:drawing>
      </w:r>
    </w:p>
    <w:p>
      <w:pPr>
        <w:keepNext w:val="false"/>
        <w:spacing w:after="140" w:before="0" w:line="276"/>
        <w:jc w:val="center"/>
      </w:pPr>
      <w:r>
        <w:rPr>
          <w:rFonts w:ascii="Aptos" w:cs="Aptos" w:eastAsia="Aptos" w:hAnsi="Aptos"/>
          <w:b/>
          <w:bCs/>
          <w:i w:val="false"/>
          <w:iCs w:val="false"/>
          <w:color w:val="111111"/>
          <w:spacing w:val="120"/>
          <w:sz w:val="30"/>
          <w:szCs w:val="30"/>
        </w:rPr>
        <w:t xml:space="preserve">CATÁLOGO DE COMPUESTOS</w:t>
      </w:r>
    </w:p>
    <w:p>
      <w:pPr>
        <w:keepNext w:val="false"/>
        <w:spacing w:after="700" w:before="0" w:line="276"/>
        <w:jc w:val="center"/>
      </w:pPr>
      <w:r>
        <w:rPr>
          <w:rFonts w:ascii="Aptos" w:cs="Aptos" w:eastAsia="Aptos" w:hAnsi="Aptos"/>
          <w:b w:val="false"/>
          <w:bCs w:val="false"/>
          <w:i/>
          <w:iCs/>
          <w:color w:val="6B7078"/>
          <w:sz w:val="19"/>
          <w:szCs w:val="19"/>
        </w:rPr>
        <w:t xml:space="preserve">Engineered Beyond Perfection</w:t>
      </w:r>
    </w:p>
    <w:p>
      <w:pPr>
        <w:keepNext w:val="false"/>
        <w:spacing w:after="900" w:before="0" w:line="276"/>
        <w:jc w:val="center"/>
      </w:pPr>
      <w:r>
        <w:rPr>
          <w:rFonts w:ascii="Aptos" w:cs="Aptos" w:eastAsia="Aptos" w:hAnsi="Aptos"/>
          <w:b w:val="false"/>
          <w:bCs w:val="false"/>
          <w:i w:val="false"/>
          <w:iCs w:val="false"/>
          <w:color w:val="6B7078"/>
          <w:spacing w:val="90"/>
          <w:sz w:val="16"/>
          <w:szCs w:val="16"/>
        </w:rPr>
        <w:t xml:space="preserve">FITNESS   ·   BEAUTY   ·   LONGEVITY</w:t>
      </w:r>
    </w:p>
    <w:p>
      <w:pPr>
        <w:keepNext w:val="false"/>
        <w:spacing w:after="80" w:before="0" w:line="276"/>
        <w:jc w:val="center"/>
      </w:pPr>
      <w:r>
        <w:rPr>
          <w:rFonts w:ascii="Aptos" w:cs="Aptos" w:eastAsia="Aptos" w:hAnsi="Aptos"/>
          <w:b/>
          <w:bCs/>
          <w:i w:val="false"/>
          <w:iCs w:val="false"/>
          <w:color w:val="111111"/>
          <w:sz w:val="17"/>
          <w:szCs w:val="17"/>
        </w:rPr>
        <w:t xml:space="preserve">Material de uso exclusivo en investigación</w:t>
      </w:r>
    </w:p>
    <w:p>
      <w:pPr>
        <w:keepNext w:val="false"/>
        <w:spacing w:after="600" w:before="0" w:line="276"/>
        <w:jc w:val="center"/>
      </w:pPr>
      <w:r>
        <w:rPr>
          <w:rFonts w:ascii="Aptos" w:cs="Aptos" w:eastAsia="Aptos" w:hAnsi="Aptos"/>
          <w:b w:val="false"/>
          <w:bCs w:val="false"/>
          <w:i w:val="false"/>
          <w:iCs w:val="false"/>
          <w:color w:val="6B7078"/>
          <w:sz w:val="16"/>
          <w:szCs w:val="16"/>
        </w:rPr>
        <w:t xml:space="preserve">No destinado a consumo humano ni a uso diagnóstico o terapéutico.</w:t>
      </w:r>
    </w:p>
    <w:p>
      <w:pPr>
        <w:keepNext w:val="false"/>
        <w:spacing w:after="120" w:before="0" w:line="276"/>
        <w:jc w:val="center"/>
      </w:pPr>
      <w:r>
        <w:rPr>
          <w:rFonts w:ascii="Aptos" w:cs="Aptos" w:eastAsia="Aptos" w:hAnsi="Aptos"/>
          <w:b w:val="false"/>
          <w:bCs w:val="false"/>
          <w:i w:val="false"/>
          <w:iCs w:val="false"/>
          <w:color w:val="6B7078"/>
          <w:sz w:val="16"/>
          <w:szCs w:val="16"/>
        </w:rPr>
        <w:t xml:space="preserve">60 compuestos  ·  agosto de 2026</w:t>
      </w:r>
    </w:p>
    <w:p>
      <w:r>
        <w:br w:type="page"/>
      </w:r>
    </w:p>
    <w:p>
      <w:pPr>
        <w:pStyle w:val="Heading1"/>
        <w:spacing w:after="240"/>
      </w:pPr>
      <w:r>
        <w:rPr>
          <w:rFonts w:ascii="Aptos" w:cs="Aptos" w:eastAsia="Aptos" w:hAnsi="Aptos"/>
          <w:b/>
          <w:bCs/>
          <w:color w:val="111111"/>
          <w:sz w:val="32"/>
          <w:szCs w:val="32"/>
        </w:rPr>
        <w:t xml:space="preserve">Índice</w:t>
      </w:r>
    </w:p>
    <w:p>
      <w:pPr>
        <w:keepNext w:val="false"/>
        <w:spacing w:after="300" w:before="0" w:line="276"/>
        <w:jc w:val="left"/>
      </w:pPr>
      <w:r>
        <w:rPr>
          <w:rFonts w:ascii="Aptos" w:cs="Aptos" w:eastAsia="Aptos" w:hAnsi="Aptos"/>
          <w:b w:val="false"/>
          <w:bCs w:val="false"/>
          <w:i w:val="false"/>
          <w:iCs w:val="false"/>
          <w:color w:val="6B7078"/>
          <w:sz w:val="17"/>
          <w:szCs w:val="17"/>
        </w:rPr>
        <w:t xml:space="preserve">Toca cualquier entrada para ir a su página. Si editas el documento, actualiza el índice con clic derecho → Actualizar campos.</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40"/>
      </w:pPr>
      <w:r>
        <w:rPr>
          <w:rFonts w:ascii="Aptos" w:cs="Aptos" w:eastAsia="Aptos" w:hAnsi="Aptos"/>
          <w:b/>
          <w:bCs/>
          <w:color w:val="111111"/>
          <w:sz w:val="32"/>
          <w:szCs w:val="32"/>
        </w:rPr>
        <w:t xml:space="preserve">Qué son los péptidos</w:t>
      </w:r>
    </w:p>
    <w:p>
      <w:pPr>
        <w:keepNext/>
        <w:spacing w:after="70" w:before="220" w:line="276"/>
        <w:jc w:val="left"/>
      </w:pPr>
      <w:r>
        <w:rPr>
          <w:rFonts w:ascii="Aptos" w:cs="Aptos" w:eastAsia="Aptos" w:hAnsi="Aptos"/>
          <w:b/>
          <w:bCs/>
          <w:i w:val="false"/>
          <w:iCs w:val="false"/>
          <w:color w:val="111111"/>
          <w:sz w:val="21"/>
          <w:szCs w:val="21"/>
        </w:rPr>
        <w:t xml:space="preserve">¿Qué es un péptido?</w:t>
      </w:r>
    </w:p>
    <w:p>
      <w:pPr>
        <w:keepNext w:val="false"/>
        <w:spacing w:after="60" w:before="0" w:line="300"/>
        <w:jc w:val="left"/>
      </w:pPr>
      <w:r>
        <w:rPr>
          <w:rFonts w:ascii="Aptos" w:cs="Aptos" w:eastAsia="Aptos" w:hAnsi="Aptos"/>
          <w:b w:val="false"/>
          <w:bCs w:val="false"/>
          <w:i w:val="false"/>
          <w:iCs w:val="false"/>
          <w:color w:val="2A2E35"/>
          <w:sz w:val="19"/>
          <w:szCs w:val="19"/>
        </w:rPr>
        <w:t xml:space="preserve">Una cadena corta de aminoácidos unidos entre sí. Los aminoácidos son las mismas piezas con las que el cuerpo construye sus proteínas; la diferencia entre un péptido y una proteína es sólo de longitud. Por convención, hasta unos cincuenta aminoácidos se habla de péptido, y por encima de ahí de proteína.</w:t>
      </w:r>
    </w:p>
    <w:p>
      <w:pPr>
        <w:keepNext/>
        <w:spacing w:after="70" w:before="220" w:line="276"/>
        <w:jc w:val="left"/>
      </w:pPr>
      <w:r>
        <w:rPr>
          <w:rFonts w:ascii="Aptos" w:cs="Aptos" w:eastAsia="Aptos" w:hAnsi="Aptos"/>
          <w:b/>
          <w:bCs/>
          <w:i w:val="false"/>
          <w:iCs w:val="false"/>
          <w:color w:val="111111"/>
          <w:sz w:val="21"/>
          <w:szCs w:val="21"/>
        </w:rPr>
        <w:t xml:space="preserve">¿En qué se diferencia de un fármaco tradicional?</w:t>
      </w:r>
    </w:p>
    <w:p>
      <w:pPr>
        <w:keepNext w:val="false"/>
        <w:spacing w:after="60" w:before="0" w:line="300"/>
        <w:jc w:val="left"/>
      </w:pPr>
      <w:r>
        <w:rPr>
          <w:rFonts w:ascii="Aptos" w:cs="Aptos" w:eastAsia="Aptos" w:hAnsi="Aptos"/>
          <w:b w:val="false"/>
          <w:bCs w:val="false"/>
          <w:i w:val="false"/>
          <w:iCs w:val="false"/>
          <w:color w:val="2A2E35"/>
          <w:sz w:val="19"/>
          <w:szCs w:val="19"/>
        </w:rPr>
        <w:t xml:space="preserve">Un fármaco clásico suele ser una molécula pequeña, fabricada por síntesis química y capaz de atravesar membranas con facilidad. Un péptido es una molécula grande y frágil, más parecida a lo que el propio organismo produce. Esa semejanza es lo que los hace interesantes en investigación y también lo que los hace delicados de conservar y de administrar.</w:t>
      </w:r>
    </w:p>
    <w:p>
      <w:pPr>
        <w:keepNext/>
        <w:spacing w:after="70" w:before="220" w:line="276"/>
        <w:jc w:val="left"/>
      </w:pPr>
      <w:r>
        <w:rPr>
          <w:rFonts w:ascii="Aptos" w:cs="Aptos" w:eastAsia="Aptos" w:hAnsi="Aptos"/>
          <w:b/>
          <w:bCs/>
          <w:i w:val="false"/>
          <w:iCs w:val="false"/>
          <w:color w:val="111111"/>
          <w:sz w:val="21"/>
          <w:szCs w:val="21"/>
        </w:rPr>
        <w:t xml:space="preserve">¿Por qué el orden de los aminoácidos importa tanto?</w:t>
      </w:r>
    </w:p>
    <w:p>
      <w:pPr>
        <w:keepNext w:val="false"/>
        <w:spacing w:after="60" w:before="0" w:line="300"/>
        <w:jc w:val="left"/>
      </w:pPr>
      <w:r>
        <w:rPr>
          <w:rFonts w:ascii="Aptos" w:cs="Aptos" w:eastAsia="Aptos" w:hAnsi="Aptos"/>
          <w:b w:val="false"/>
          <w:bCs w:val="false"/>
          <w:i w:val="false"/>
          <w:iCs w:val="false"/>
          <w:color w:val="2A2E35"/>
          <w:sz w:val="19"/>
          <w:szCs w:val="19"/>
        </w:rPr>
        <w:t xml:space="preserve">Porque la secuencia determina la forma, y la forma determina la función. Un péptido actúa encajando en un receptor como una llave en una cerradura. Cambiar un solo aminoácido, o dejar que la cadena pierda su plegamiento, puede dejar la molécula intacta en peso y completamente inútil en efecto.</w:t>
      </w:r>
    </w:p>
    <w:p>
      <w:pPr>
        <w:keepNext/>
        <w:spacing w:after="70" w:before="220" w:line="276"/>
        <w:jc w:val="left"/>
      </w:pPr>
      <w:r>
        <w:rPr>
          <w:rFonts w:ascii="Aptos" w:cs="Aptos" w:eastAsia="Aptos" w:hAnsi="Aptos"/>
          <w:b/>
          <w:bCs/>
          <w:i w:val="false"/>
          <w:iCs w:val="false"/>
          <w:color w:val="111111"/>
          <w:sz w:val="21"/>
          <w:szCs w:val="21"/>
        </w:rPr>
        <w:t xml:space="preserve">¿Qué significa «grado investigación»?</w:t>
      </w:r>
    </w:p>
    <w:p>
      <w:pPr>
        <w:keepNext w:val="false"/>
        <w:spacing w:after="60" w:before="0" w:line="300"/>
        <w:jc w:val="left"/>
      </w:pPr>
      <w:r>
        <w:rPr>
          <w:rFonts w:ascii="Aptos" w:cs="Aptos" w:eastAsia="Aptos" w:hAnsi="Aptos"/>
          <w:b w:val="false"/>
          <w:bCs w:val="false"/>
          <w:i w:val="false"/>
          <w:iCs w:val="false"/>
          <w:color w:val="2A2E35"/>
          <w:sz w:val="19"/>
          <w:szCs w:val="19"/>
        </w:rPr>
        <w:t xml:space="preserve">Que el material se produce y se vende para trabajo de laboratorio: ensayos in vitro, caracterización analítica, desarrollo de método. No es un medicamento, no está aprobado para uso en personas y no se acompaña de indicaciones clínicas. Es una categoría regulatoria distinta, con obligaciones distintas.</w:t>
      </w:r>
    </w:p>
    <w:p>
      <w:pPr>
        <w:keepNext/>
        <w:spacing w:after="70" w:before="220" w:line="276"/>
        <w:jc w:val="left"/>
      </w:pPr>
      <w:r>
        <w:rPr>
          <w:rFonts w:ascii="Aptos" w:cs="Aptos" w:eastAsia="Aptos" w:hAnsi="Aptos"/>
          <w:b/>
          <w:bCs/>
          <w:i w:val="false"/>
          <w:iCs w:val="false"/>
          <w:color w:val="111111"/>
          <w:sz w:val="21"/>
          <w:szCs w:val="21"/>
        </w:rPr>
        <w:t xml:space="preserve">¿Qué es un COA y por qué se pide siempre?</w:t>
      </w:r>
    </w:p>
    <w:p>
      <w:pPr>
        <w:keepNext w:val="false"/>
        <w:spacing w:after="60" w:before="0" w:line="300"/>
        <w:jc w:val="left"/>
      </w:pPr>
      <w:r>
        <w:rPr>
          <w:rFonts w:ascii="Aptos" w:cs="Aptos" w:eastAsia="Aptos" w:hAnsi="Aptos"/>
          <w:b w:val="false"/>
          <w:bCs w:val="false"/>
          <w:i w:val="false"/>
          <w:iCs w:val="false"/>
          <w:color w:val="2A2E35"/>
          <w:sz w:val="19"/>
          <w:szCs w:val="19"/>
        </w:rPr>
        <w:t xml:space="preserve">El certificado de análisis es el documento que acompaña a cada lote y dice qué contiene de verdad. Un COA completo trae al menos: identidad confirmada por espectrometría de masas, pureza medida por HPLC con su cromatograma, contenido neto de péptido, humedad residual y contraión. Un certificado que sólo declara un porcentaje, sin método y sin cromatograma, no es un certificado: es una afirmación.</w:t>
      </w:r>
    </w:p>
    <w:p>
      <w:pPr>
        <w:keepNext/>
        <w:spacing w:after="70" w:before="220" w:line="276"/>
        <w:jc w:val="left"/>
      </w:pPr>
      <w:r>
        <w:rPr>
          <w:rFonts w:ascii="Aptos" w:cs="Aptos" w:eastAsia="Aptos" w:hAnsi="Aptos"/>
          <w:b/>
          <w:bCs/>
          <w:i w:val="false"/>
          <w:iCs w:val="false"/>
          <w:color w:val="111111"/>
          <w:sz w:val="21"/>
          <w:szCs w:val="21"/>
        </w:rPr>
        <w:t xml:space="preserve">¿Qué quiere decir «pureza 99 %»?</w:t>
      </w:r>
    </w:p>
    <w:p>
      <w:pPr>
        <w:keepNext w:val="false"/>
        <w:spacing w:after="60" w:before="0" w:line="300"/>
        <w:jc w:val="left"/>
      </w:pPr>
      <w:r>
        <w:rPr>
          <w:rFonts w:ascii="Aptos" w:cs="Aptos" w:eastAsia="Aptos" w:hAnsi="Aptos"/>
          <w:b w:val="false"/>
          <w:bCs w:val="false"/>
          <w:i w:val="false"/>
          <w:iCs w:val="false"/>
          <w:color w:val="2A2E35"/>
          <w:sz w:val="19"/>
          <w:szCs w:val="19"/>
        </w:rPr>
        <w:t xml:space="preserve">Que el 99 % del área del cromatograma corresponde al pico del compuesto buscado. El 1 % restante son impurezas de síntesis: cadenas truncadas, deleciones, variantes. Conviene saber que la pureza se mide sobre el material peptídico, no sobre el contenido del vial — y ésas son dos cosas distintas, como explica la pregunta siguiente.</w:t>
      </w:r>
    </w:p>
    <w:p>
      <w:pPr>
        <w:keepNext/>
        <w:spacing w:after="70" w:before="220" w:line="276"/>
        <w:jc w:val="left"/>
      </w:pPr>
      <w:r>
        <w:rPr>
          <w:rFonts w:ascii="Aptos" w:cs="Aptos" w:eastAsia="Aptos" w:hAnsi="Aptos"/>
          <w:b/>
          <w:bCs/>
          <w:i w:val="false"/>
          <w:iCs w:val="false"/>
          <w:color w:val="111111"/>
          <w:sz w:val="21"/>
          <w:szCs w:val="21"/>
        </w:rPr>
        <w:t xml:space="preserve">¿Por qué un vial de 5 mg puede tener menos de 5 mg de péptido?</w:t>
      </w:r>
    </w:p>
    <w:p>
      <w:pPr>
        <w:keepNext w:val="false"/>
        <w:spacing w:after="60" w:before="0" w:line="300"/>
        <w:jc w:val="left"/>
      </w:pPr>
      <w:r>
        <w:rPr>
          <w:rFonts w:ascii="Aptos" w:cs="Aptos" w:eastAsia="Aptos" w:hAnsi="Aptos"/>
          <w:b w:val="false"/>
          <w:bCs w:val="false"/>
          <w:i w:val="false"/>
          <w:iCs w:val="false"/>
          <w:color w:val="2A2E35"/>
          <w:sz w:val="19"/>
          <w:szCs w:val="19"/>
        </w:rPr>
        <w:t xml:space="preserve">Porque el polvo liofilizado no es sólo péptido: lleva agua residual, sales y el contraión que queda de la purificación, habitualmente trifluoroacetato. El «contenido neto de péptido» es la fracción que de verdad es la molécula, y suele estar entre el 75 % y el 90 % de la masa declarada. Es el dato que permite comparar precios entre proveedores de forma honesta.</w:t>
      </w:r>
    </w:p>
    <w:p>
      <w:pPr>
        <w:keepNext/>
        <w:spacing w:after="70" w:before="220" w:line="276"/>
        <w:jc w:val="left"/>
      </w:pPr>
      <w:r>
        <w:rPr>
          <w:rFonts w:ascii="Aptos" w:cs="Aptos" w:eastAsia="Aptos" w:hAnsi="Aptos"/>
          <w:b/>
          <w:bCs/>
          <w:i w:val="false"/>
          <w:iCs w:val="false"/>
          <w:color w:val="111111"/>
          <w:sz w:val="21"/>
          <w:szCs w:val="21"/>
        </w:rPr>
        <w:t xml:space="preserve">¿Qué es la reconstitución?</w:t>
      </w:r>
    </w:p>
    <w:p>
      <w:pPr>
        <w:keepNext w:val="false"/>
        <w:spacing w:after="60" w:before="0" w:line="300"/>
        <w:jc w:val="left"/>
      </w:pPr>
      <w:r>
        <w:rPr>
          <w:rFonts w:ascii="Aptos" w:cs="Aptos" w:eastAsia="Aptos" w:hAnsi="Aptos"/>
          <w:b w:val="false"/>
          <w:bCs w:val="false"/>
          <w:i w:val="false"/>
          <w:iCs w:val="false"/>
          <w:color w:val="2A2E35"/>
          <w:sz w:val="19"/>
          <w:szCs w:val="19"/>
        </w:rPr>
        <w:t xml:space="preserve">El paso de llevar el polvo liofilizado a solución añadiendo un disolvente estéril, normalmente agua bacteriostática. El disolvente y el volumen determinan la concentración final. En este catálogo, la concentración de cada compuesto aparece con el volumen de referencia sobre el que está calculada.</w:t>
      </w:r>
    </w:p>
    <w:p>
      <w:pPr>
        <w:keepNext/>
        <w:spacing w:after="70" w:before="220" w:line="276"/>
        <w:jc w:val="left"/>
      </w:pPr>
      <w:r>
        <w:rPr>
          <w:rFonts w:ascii="Aptos" w:cs="Aptos" w:eastAsia="Aptos" w:hAnsi="Aptos"/>
          <w:b/>
          <w:bCs/>
          <w:i w:val="false"/>
          <w:iCs w:val="false"/>
          <w:color w:val="111111"/>
          <w:sz w:val="21"/>
          <w:szCs w:val="21"/>
        </w:rPr>
        <w:t xml:space="preserve">¿Qué es el agua bacteriostática?</w:t>
      </w:r>
    </w:p>
    <w:p>
      <w:pPr>
        <w:keepNext w:val="false"/>
        <w:spacing w:after="60" w:before="0" w:line="300"/>
        <w:jc w:val="left"/>
      </w:pPr>
      <w:r>
        <w:rPr>
          <w:rFonts w:ascii="Aptos" w:cs="Aptos" w:eastAsia="Aptos" w:hAnsi="Aptos"/>
          <w:b w:val="false"/>
          <w:bCs w:val="false"/>
          <w:i w:val="false"/>
          <w:iCs w:val="false"/>
          <w:color w:val="2A2E35"/>
          <w:sz w:val="19"/>
          <w:szCs w:val="19"/>
        </w:rPr>
        <w:t xml:space="preserve">Agua estéril con alcohol bencílico al 0,9 %, que inhibe el crecimiento bacteriano y permite que un vial reconstituido se conserve más tiempo que con agua estéril simple. Algunos compuestos poco solubles requieren en cambio una solución ácida. El disolvente correcto de cada uno figura en su ficha.</w:t>
      </w:r>
    </w:p>
    <w:p>
      <w:pPr>
        <w:keepNext/>
        <w:spacing w:after="70" w:before="220" w:line="276"/>
        <w:jc w:val="left"/>
      </w:pPr>
      <w:r>
        <w:rPr>
          <w:rFonts w:ascii="Aptos" w:cs="Aptos" w:eastAsia="Aptos" w:hAnsi="Aptos"/>
          <w:b/>
          <w:bCs/>
          <w:i w:val="false"/>
          <w:iCs w:val="false"/>
          <w:color w:val="111111"/>
          <w:sz w:val="21"/>
          <w:szCs w:val="21"/>
        </w:rPr>
        <w:t xml:space="preserve">¿Por qué hace falta cadena de frío?</w:t>
      </w:r>
    </w:p>
    <w:p>
      <w:pPr>
        <w:keepNext w:val="false"/>
        <w:spacing w:after="60" w:before="0" w:line="300"/>
        <w:jc w:val="left"/>
      </w:pPr>
      <w:r>
        <w:rPr>
          <w:rFonts w:ascii="Aptos" w:cs="Aptos" w:eastAsia="Aptos" w:hAnsi="Aptos"/>
          <w:b w:val="false"/>
          <w:bCs w:val="false"/>
          <w:i w:val="false"/>
          <w:iCs w:val="false"/>
          <w:color w:val="2A2E35"/>
          <w:sz w:val="19"/>
          <w:szCs w:val="19"/>
        </w:rPr>
        <w:t xml:space="preserve">Porque los péptidos se degradan por hidrólisis, oxidación y agregación, y las tres se aceleran con el calor. En polvo y a −20 °C un péptido aguanta años; en solución y a temperatura ambiente puede perder actividad en días. La conservación no es una recomendación de almacén: es parte de la especificación del producto.</w:t>
      </w:r>
    </w:p>
    <w:p>
      <w:pPr>
        <w:keepNext/>
        <w:spacing w:after="70" w:before="220" w:line="276"/>
        <w:jc w:val="left"/>
      </w:pPr>
      <w:r>
        <w:rPr>
          <w:rFonts w:ascii="Aptos" w:cs="Aptos" w:eastAsia="Aptos" w:hAnsi="Aptos"/>
          <w:b/>
          <w:bCs/>
          <w:i w:val="false"/>
          <w:iCs w:val="false"/>
          <w:color w:val="111111"/>
          <w:sz w:val="21"/>
          <w:szCs w:val="21"/>
        </w:rPr>
        <w:t xml:space="preserve">¿Por qué unos se guardan en refrigeración y otros congelados?</w:t>
      </w:r>
    </w:p>
    <w:p>
      <w:pPr>
        <w:keepNext w:val="false"/>
        <w:spacing w:after="60" w:before="0" w:line="300"/>
        <w:jc w:val="left"/>
      </w:pPr>
      <w:r>
        <w:rPr>
          <w:rFonts w:ascii="Aptos" w:cs="Aptos" w:eastAsia="Aptos" w:hAnsi="Aptos"/>
          <w:b w:val="false"/>
          <w:bCs w:val="false"/>
          <w:i w:val="false"/>
          <w:iCs w:val="false"/>
          <w:color w:val="2A2E35"/>
          <w:sz w:val="19"/>
          <w:szCs w:val="19"/>
        </w:rPr>
        <w:t xml:space="preserve">Depende de la estabilidad de cada secuencia y de si está en polvo o en solución. La regla general es que el liofilizado tolera congelación y la solución no debe congelarse y descongelarse repetidamente, porque cada ciclo favorece la agregación. Cada ficha indica la condición concreta.</w:t>
      </w:r>
    </w:p>
    <w:p>
      <w:pPr>
        <w:keepNext/>
        <w:spacing w:after="70" w:before="220" w:line="276"/>
        <w:jc w:val="left"/>
      </w:pPr>
      <w:r>
        <w:rPr>
          <w:rFonts w:ascii="Aptos" w:cs="Aptos" w:eastAsia="Aptos" w:hAnsi="Aptos"/>
          <w:b/>
          <w:bCs/>
          <w:i w:val="false"/>
          <w:iCs w:val="false"/>
          <w:color w:val="111111"/>
          <w:sz w:val="21"/>
          <w:szCs w:val="21"/>
        </w:rPr>
        <w:t xml:space="preserve">¿Qué significan las tres líneas de PEPTIDEX?</w:t>
      </w:r>
    </w:p>
    <w:p>
      <w:pPr>
        <w:keepNext w:val="false"/>
        <w:spacing w:after="60" w:before="0" w:line="300"/>
        <w:jc w:val="left"/>
      </w:pPr>
      <w:r>
        <w:rPr>
          <w:rFonts w:ascii="Aptos" w:cs="Aptos" w:eastAsia="Aptos" w:hAnsi="Aptos"/>
          <w:b w:val="false"/>
          <w:bCs w:val="false"/>
          <w:i w:val="false"/>
          <w:iCs w:val="false"/>
          <w:color w:val="2A2E35"/>
          <w:sz w:val="19"/>
          <w:szCs w:val="19"/>
        </w:rPr>
        <w:t xml:space="preserve">Son una forma de ordenar el catálogo por área de investigación, no una promesa de resultado. FITNESS agrupa lo relacionado con tejido, metabolismo y eje somatotrópico; BEAUTY, lo relacionado con piel, pigmento y matriz; LONGEVITY, lo relacionado con neuroprotección, sueño y función mitocondrial.</w:t>
      </w:r>
    </w:p>
    <w:p>
      <w:pPr>
        <w:keepNext/>
        <w:spacing w:after="70" w:before="220" w:line="276"/>
        <w:jc w:val="left"/>
      </w:pPr>
      <w:r>
        <w:rPr>
          <w:rFonts w:ascii="Aptos" w:cs="Aptos" w:eastAsia="Aptos" w:hAnsi="Aptos"/>
          <w:b/>
          <w:bCs/>
          <w:i w:val="false"/>
          <w:iCs w:val="false"/>
          <w:color w:val="111111"/>
          <w:sz w:val="21"/>
          <w:szCs w:val="21"/>
        </w:rPr>
        <w:t xml:space="preserve">¿Por qué este catálogo no trae dosis?</w:t>
      </w:r>
    </w:p>
    <w:p>
      <w:pPr>
        <w:keepNext w:val="false"/>
        <w:spacing w:after="60" w:before="0" w:line="300"/>
        <w:jc w:val="left"/>
      </w:pPr>
      <w:r>
        <w:rPr>
          <w:rFonts w:ascii="Aptos" w:cs="Aptos" w:eastAsia="Aptos" w:hAnsi="Aptos"/>
          <w:b w:val="false"/>
          <w:bCs w:val="false"/>
          <w:i w:val="false"/>
          <w:iCs w:val="false"/>
          <w:color w:val="2A2E35"/>
          <w:sz w:val="19"/>
          <w:szCs w:val="19"/>
        </w:rPr>
        <w:t xml:space="preserve">Porque una dosis es una indicación de uso en un organismo, y este material no está destinado a un organismo. Incluir pautas convertiría un catálogo de investigación en algo distinto, con consecuencias regulatorias reales en México y en Estados Unidos. Lo que sí encontrarás es todo lo que define al producto: composición, concentración, disolvente y conservación.</w:t>
      </w:r>
    </w:p>
    <w:p>
      <w:r>
        <w:br w:type="page"/>
      </w:r>
    </w:p>
    <w:p>
      <w:pPr>
        <w:pStyle w:val="Heading1"/>
        <w:spacing w:after="240"/>
      </w:pPr>
      <w:r>
        <w:rPr>
          <w:rFonts w:ascii="Aptos" w:cs="Aptos" w:eastAsia="Aptos" w:hAnsi="Aptos"/>
          <w:b/>
          <w:bCs/>
          <w:color w:val="111111"/>
          <w:sz w:val="32"/>
          <w:szCs w:val="32"/>
        </w:rPr>
        <w:t xml:space="preserve">Cómo leer una ficha</w:t>
      </w:r>
    </w:p>
    <w:p>
      <w:pPr>
        <w:keepNext w:val="false"/>
        <w:spacing w:after="240" w:before="0" w:line="276"/>
        <w:jc w:val="left"/>
      </w:pPr>
      <w:r>
        <w:rPr>
          <w:rFonts w:ascii="Aptos" w:cs="Aptos" w:eastAsia="Aptos" w:hAnsi="Aptos"/>
          <w:b w:val="false"/>
          <w:bCs w:val="false"/>
          <w:i w:val="false"/>
          <w:iCs w:val="false"/>
          <w:color w:val="6B7078"/>
          <w:sz w:val="19"/>
          <w:szCs w:val="19"/>
        </w:rPr>
        <w:t xml:space="preserve">Cada compuesto trae los mismos siete campos, siempre en el mismo orden.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El área de investigación a la que pertenece.</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Los formatos de vial disponibles y cuántos vienen por caja.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Miligramos por mililitro una vez reconstituido, con el volumen de referencia sobre el que está calculada.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La referencia interna. Es lo que hay que citar al pedir.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 qué se reconstituye. No son intercambiables.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y condiciones. Forma parte de la especificación, no es un consejo.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Qué hace la molécula, descrito en términos de su diana. No es una afirmación de eficacia.</w:t>
            </w:r>
          </w:p>
        </w:tc>
      </w:tr>
    </w:tbl>
    <w:p>
      <w:r>
        <w:br w:type="page"/>
      </w:r>
    </w:p>
    <w:p>
      <w:pPr>
        <w:spacing w:after="260" w:before="900"/>
        <w:jc w:val="center"/>
      </w:pPr>
      <w:r>
        <w:drawing>
          <wp:inline distT="0" distB="0" distL="0" distR="0">
            <wp:extent cx="2857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42925"/>
                    </a:xfrm>
                    <a:prstGeom prst="rect">
                      <a:avLst/>
                    </a:prstGeom>
                  </pic:spPr>
                </pic:pic>
              </a:graphicData>
            </a:graphic>
          </wp:inline>
        </w:drawing>
      </w:r>
    </w:p>
    <w:p>
      <w:pPr>
        <w:pStyle w:val="Heading1"/>
        <w:spacing w:after="100"/>
        <w:jc w:val="center"/>
      </w:pPr>
      <w:r>
        <w:rPr>
          <w:rFonts w:ascii="Aptos" w:cs="Aptos" w:eastAsia="Aptos" w:hAnsi="Aptos"/>
          <w:b/>
          <w:bCs/>
          <w:color w:val="3A3F47"/>
          <w:spacing w:val="140"/>
          <w:sz w:val="34"/>
          <w:szCs w:val="34"/>
        </w:rPr>
        <w:t xml:space="preserve">FITNESS</w:t>
      </w:r>
    </w:p>
    <w:p>
      <w:pPr>
        <w:keepNext w:val="false"/>
        <w:spacing w:after="80" w:before="0" w:line="276"/>
        <w:jc w:val="center"/>
      </w:pPr>
      <w:r>
        <w:rPr>
          <w:rFonts w:ascii="Aptos" w:cs="Aptos" w:eastAsia="Aptos" w:hAnsi="Aptos"/>
          <w:b w:val="false"/>
          <w:bCs w:val="false"/>
          <w:i/>
          <w:iCs/>
          <w:color w:val="6B7078"/>
          <w:sz w:val="19"/>
          <w:szCs w:val="19"/>
        </w:rPr>
        <w:t xml:space="preserve">Rendimiento, recuperación y masa magra</w:t>
      </w:r>
    </w:p>
    <w:p>
      <w:pPr>
        <w:keepNext w:val="false"/>
        <w:spacing w:after="0" w:before="0" w:line="276"/>
        <w:jc w:val="center"/>
      </w:pPr>
      <w:r>
        <w:rPr>
          <w:rFonts w:ascii="Aptos" w:cs="Aptos" w:eastAsia="Aptos" w:hAnsi="Aptos"/>
          <w:b w:val="false"/>
          <w:bCs w:val="false"/>
          <w:i w:val="false"/>
          <w:iCs w:val="false"/>
          <w:color w:val="6B7078"/>
          <w:spacing w:val="70"/>
          <w:sz w:val="16"/>
          <w:szCs w:val="16"/>
        </w:rPr>
        <w:t xml:space="preserve">33 referencias</w:t>
      </w:r>
    </w:p>
    <w:p>
      <w:r>
        <w:br w:type="page"/>
      </w:r>
    </w:p>
    <w:p>
      <w:pPr>
        <w:pStyle w:val="Heading2"/>
        <w:keepNext/>
        <w:pBdr>
          <w:bottom w:val="single" w:color="3A3F47" w:sz="8" w:space="6"/>
        </w:pBdr>
        <w:spacing w:after="30" w:before="120"/>
      </w:pPr>
      <w:r>
        <w:rPr>
          <w:rFonts w:ascii="Aptos" w:cs="Aptos" w:eastAsia="Aptos" w:hAnsi="Aptos"/>
          <w:b/>
          <w:bCs/>
          <w:color w:val="111111"/>
          <w:sz w:val="26"/>
          <w:szCs w:val="26"/>
        </w:rPr>
        <w:t xml:space="preserve">5-amino-1mq</w:t>
      </w:r>
    </w:p>
    <w:p>
      <w:pPr>
        <w:keepNext/>
        <w:spacing w:after="160" w:before="0" w:line="276"/>
        <w:jc w:val="left"/>
      </w:pPr>
      <w:r>
        <w:rPr>
          <w:rFonts w:ascii="Aptos" w:cs="Aptos" w:eastAsia="Aptos" w:hAnsi="Aptos"/>
          <w:b w:val="false"/>
          <w:bCs w:val="false"/>
          <w:i/>
          <w:iCs/>
          <w:color w:val="6B7078"/>
          <w:sz w:val="18"/>
          <w:szCs w:val="18"/>
        </w:rPr>
        <w:t xml:space="preserve">Inhibidor selectivo de NNMT. Incrementa el metabolismo celular.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 / 50mg*10vials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5AM / 10AM / 50AM</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Agente de soporte estructural y coenzima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Adamax</w:t>
      </w:r>
    </w:p>
    <w:p>
      <w:pPr>
        <w:keepNext/>
        <w:spacing w:after="160" w:before="0" w:line="276"/>
        <w:jc w:val="left"/>
      </w:pPr>
      <w:r>
        <w:rPr>
          <w:rFonts w:ascii="Aptos" w:cs="Aptos" w:eastAsia="Aptos" w:hAnsi="Aptos"/>
          <w:b w:val="false"/>
          <w:bCs w:val="false"/>
          <w:i/>
          <w:iCs/>
          <w:color w:val="6B7078"/>
          <w:sz w:val="18"/>
          <w:szCs w:val="18"/>
        </w:rPr>
        <w:t xml:space="preserve">Versión mejorada de Semax con alta potencia cognitiva.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AX10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Modulación de factores neurotróficos para plasticidad sináptica.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Adipotide / FTPP</w:t>
      </w:r>
    </w:p>
    <w:p>
      <w:pPr>
        <w:keepNext/>
        <w:spacing w:after="160" w:before="0" w:line="276"/>
        <w:jc w:val="left"/>
      </w:pPr>
      <w:r>
        <w:rPr>
          <w:rFonts w:ascii="Aptos" w:cs="Aptos" w:eastAsia="Aptos" w:hAnsi="Aptos"/>
          <w:b w:val="false"/>
          <w:bCs w:val="false"/>
          <w:i/>
          <w:iCs/>
          <w:color w:val="6B7078"/>
          <w:sz w:val="18"/>
          <w:szCs w:val="18"/>
        </w:rPr>
        <w:t xml:space="preserve">Péptido dirigido a la apoptosis del tejido adiposo blanco.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APT5 / APT10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Agente de soporte estructural y coenzima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AICAR</w:t>
      </w:r>
    </w:p>
    <w:p>
      <w:pPr>
        <w:keepNext/>
        <w:spacing w:after="160" w:before="0" w:line="276"/>
        <w:jc w:val="left"/>
      </w:pPr>
      <w:r>
        <w:rPr>
          <w:rFonts w:ascii="Aptos" w:cs="Aptos" w:eastAsia="Aptos" w:hAnsi="Aptos"/>
          <w:b w:val="false"/>
          <w:bCs w:val="false"/>
          <w:i/>
          <w:iCs/>
          <w:color w:val="6B7078"/>
          <w:sz w:val="18"/>
          <w:szCs w:val="18"/>
        </w:rPr>
        <w:t xml:space="preserve">Análogo de AMP que activa la proteína quinasa AMPK.</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50mg*10vials / 100mg*10vials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AR50 / AR100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Agente de soporte estructural y coenzima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AOD 9604</w:t>
      </w:r>
    </w:p>
    <w:p>
      <w:pPr>
        <w:keepNext/>
        <w:spacing w:after="160" w:before="0" w:line="276"/>
        <w:jc w:val="left"/>
      </w:pPr>
      <w:r>
        <w:rPr>
          <w:rFonts w:ascii="Aptos" w:cs="Aptos" w:eastAsia="Aptos" w:hAnsi="Aptos"/>
          <w:b w:val="false"/>
          <w:bCs w:val="false"/>
          <w:i/>
          <w:iCs/>
          <w:color w:val="6B7078"/>
          <w:sz w:val="18"/>
          <w:szCs w:val="18"/>
        </w:rPr>
        <w:t xml:space="preserve">Fragmento C-terminal de HGH. Mantener ventana de 30 minutos sin ingesta calórica posterior.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5AD / 10AD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 selectivamente receptores beta-3 adrenérgicos del tejido adiposo blanco.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Ara-290</w:t>
      </w:r>
    </w:p>
    <w:p>
      <w:pPr>
        <w:keepNext/>
        <w:spacing w:after="160" w:before="0" w:line="276"/>
        <w:jc w:val="left"/>
      </w:pPr>
      <w:r>
        <w:rPr>
          <w:rFonts w:ascii="Aptos" w:cs="Aptos" w:eastAsia="Aptos" w:hAnsi="Aptos"/>
          <w:b w:val="false"/>
          <w:bCs w:val="false"/>
          <w:i/>
          <w:iCs/>
          <w:color w:val="6B7078"/>
          <w:sz w:val="18"/>
          <w:szCs w:val="18"/>
        </w:rPr>
        <w:t xml:space="preserve">Péptido derivado de la eritropoyetina con rol neuroprotector.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RA10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reparador derivado de eritropoyetina sin efectos eritropoyéticos.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BPC 157</w:t>
      </w:r>
    </w:p>
    <w:p>
      <w:pPr>
        <w:keepNext/>
        <w:spacing w:after="160" w:before="0" w:line="276"/>
        <w:jc w:val="left"/>
      </w:pPr>
      <w:r>
        <w:rPr>
          <w:rFonts w:ascii="Aptos" w:cs="Aptos" w:eastAsia="Aptos" w:hAnsi="Aptos"/>
          <w:b w:val="false"/>
          <w:bCs w:val="false"/>
          <w:i/>
          <w:iCs/>
          <w:color w:val="6B7078"/>
          <w:sz w:val="18"/>
          <w:szCs w:val="18"/>
        </w:rPr>
        <w:t xml:space="preserve">Péptido gástrico con alta estabilidad en solución. Vida media corta.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20mg*10vials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20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BC5 / BC20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Activa la vía del factor VEGF induciendo angiogénesis y reparación de tendones.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BPC157 5/10mg + TB500 5/10mg</w:t>
      </w:r>
    </w:p>
    <w:p>
      <w:pPr>
        <w:keepNext/>
        <w:spacing w:after="160" w:before="0" w:line="276"/>
        <w:jc w:val="left"/>
      </w:pPr>
      <w:r>
        <w:rPr>
          <w:rFonts w:ascii="Aptos" w:cs="Aptos" w:eastAsia="Aptos" w:hAnsi="Aptos"/>
          <w:b w:val="false"/>
          <w:bCs w:val="false"/>
          <w:i/>
          <w:iCs/>
          <w:color w:val="6B7078"/>
          <w:sz w:val="18"/>
          <w:szCs w:val="18"/>
        </w:rPr>
        <w:t xml:space="preserve">Formulación combinada BPC+TB500 sinérgica.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 / 20mg*10vials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 20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BB10 / BB20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Estimula angiogénesis, migración celular y modulación inflamatoria.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Cagrilintide</w:t>
      </w:r>
    </w:p>
    <w:p>
      <w:pPr>
        <w:keepNext/>
        <w:spacing w:after="160" w:before="0" w:line="276"/>
        <w:jc w:val="left"/>
      </w:pPr>
      <w:r>
        <w:rPr>
          <w:rFonts w:ascii="Aptos" w:cs="Aptos" w:eastAsia="Aptos" w:hAnsi="Aptos"/>
          <w:b w:val="false"/>
          <w:bCs w:val="false"/>
          <w:i/>
          <w:iCs/>
          <w:color w:val="6B7078"/>
          <w:sz w:val="18"/>
          <w:szCs w:val="18"/>
        </w:rPr>
        <w:t xml:space="preserve">Análogo de la amilina de larga duración.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CGL5 / CGL10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Modulador de vías metabólicas e incretinas para optimizar gasto energético.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Cagrilintide + Semaglutide</w:t>
      </w:r>
    </w:p>
    <w:p>
      <w:pPr>
        <w:keepNext/>
        <w:spacing w:after="160" w:before="0" w:line="276"/>
        <w:jc w:val="left"/>
      </w:pPr>
      <w:r>
        <w:rPr>
          <w:rFonts w:ascii="Aptos" w:cs="Aptos" w:eastAsia="Aptos" w:hAnsi="Aptos"/>
          <w:b w:val="false"/>
          <w:bCs w:val="false"/>
          <w:i/>
          <w:iCs/>
          <w:color w:val="6B7078"/>
          <w:sz w:val="18"/>
          <w:szCs w:val="18"/>
        </w:rPr>
        <w:t xml:space="preserve">Formulación combinada premezclada semanal.</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CS5 / CS10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Co-formulación de alta concentración de incretinas.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CJC-1295 With DAC</w:t>
      </w:r>
    </w:p>
    <w:p>
      <w:pPr>
        <w:keepNext/>
        <w:spacing w:after="160" w:before="0" w:line="276"/>
        <w:jc w:val="left"/>
      </w:pPr>
      <w:r>
        <w:rPr>
          <w:rFonts w:ascii="Aptos" w:cs="Aptos" w:eastAsia="Aptos" w:hAnsi="Aptos"/>
          <w:b w:val="false"/>
          <w:bCs w:val="false"/>
          <w:i/>
          <w:iCs/>
          <w:color w:val="6B7078"/>
          <w:sz w:val="18"/>
          <w:szCs w:val="18"/>
        </w:rPr>
        <w:t xml:space="preserve">Secretagogo con complejo DAC de larga vida media.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CD5 / CD10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Mimético somatotrópico de acción prolongada.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CJC-1295 Without DAC</w:t>
      </w:r>
    </w:p>
    <w:p>
      <w:pPr>
        <w:keepNext/>
        <w:spacing w:after="160" w:before="0" w:line="276"/>
        <w:jc w:val="left"/>
      </w:pPr>
      <w:r>
        <w:rPr>
          <w:rFonts w:ascii="Aptos" w:cs="Aptos" w:eastAsia="Aptos" w:hAnsi="Aptos"/>
          <w:b w:val="false"/>
          <w:bCs w:val="false"/>
          <w:i/>
          <w:iCs/>
          <w:color w:val="6B7078"/>
          <w:sz w:val="18"/>
          <w:szCs w:val="18"/>
        </w:rPr>
        <w:t xml:space="preserve">Mod GRF 1-29. Vida media corta. Requiere ayuno previo.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CND5 / CND10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Agonista selectivo de receptores de secretagogos de HGH.</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CJC-1295 Without DAC 5mg+IPA 5mg</w:t>
      </w:r>
    </w:p>
    <w:p>
      <w:pPr>
        <w:keepNext/>
        <w:spacing w:after="160" w:before="0" w:line="276"/>
        <w:jc w:val="left"/>
      </w:pPr>
      <w:r>
        <w:rPr>
          <w:rFonts w:ascii="Aptos" w:cs="Aptos" w:eastAsia="Aptos" w:hAnsi="Aptos"/>
          <w:b w:val="false"/>
          <w:bCs w:val="false"/>
          <w:i/>
          <w:iCs/>
          <w:color w:val="6B7078"/>
          <w:sz w:val="18"/>
          <w:szCs w:val="18"/>
        </w:rPr>
        <w:t xml:space="preserve">Combinación estándar en investigación para pulso de HGH.</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CP10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Combinación sinérgica de secretagogos somatotropos.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GHRP-2 Acetate</w:t>
      </w:r>
    </w:p>
    <w:p>
      <w:pPr>
        <w:keepNext/>
        <w:spacing w:after="160" w:before="0" w:line="276"/>
        <w:jc w:val="left"/>
      </w:pPr>
      <w:r>
        <w:rPr>
          <w:rFonts w:ascii="Aptos" w:cs="Aptos" w:eastAsia="Aptos" w:hAnsi="Aptos"/>
          <w:b w:val="false"/>
          <w:bCs w:val="false"/>
          <w:i/>
          <w:iCs/>
          <w:color w:val="6B7078"/>
          <w:sz w:val="18"/>
          <w:szCs w:val="18"/>
        </w:rPr>
        <w:t xml:space="preserve">Péptido liberador de HGH. Puede elevar cortisol levemente.</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G25 / G210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Agonista de GHS-R para estímulo de liberación somatotropa.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GHRP-6 Acetate</w:t>
      </w:r>
    </w:p>
    <w:p>
      <w:pPr>
        <w:keepNext/>
        <w:spacing w:after="160" w:before="0" w:line="276"/>
        <w:jc w:val="left"/>
      </w:pPr>
      <w:r>
        <w:rPr>
          <w:rFonts w:ascii="Aptos" w:cs="Aptos" w:eastAsia="Aptos" w:hAnsi="Aptos"/>
          <w:b w:val="false"/>
          <w:bCs w:val="false"/>
          <w:i/>
          <w:iCs/>
          <w:color w:val="6B7078"/>
          <w:sz w:val="18"/>
          <w:szCs w:val="18"/>
        </w:rPr>
        <w:t xml:space="preserve">Interactúa con receptor de ghrelina. Incrementa hambre.</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G65 / G610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Agonista de GHS-R con fuerte estímulo del apetito y HGH.</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HCG</w:t>
      </w:r>
    </w:p>
    <w:p>
      <w:pPr>
        <w:keepNext/>
        <w:spacing w:after="160" w:before="0" w:line="276"/>
        <w:jc w:val="left"/>
      </w:pPr>
      <w:r>
        <w:rPr>
          <w:rFonts w:ascii="Aptos" w:cs="Aptos" w:eastAsia="Aptos" w:hAnsi="Aptos"/>
          <w:b w:val="false"/>
          <w:bCs w:val="false"/>
          <w:i/>
          <w:iCs/>
          <w:color w:val="6B7078"/>
          <w:sz w:val="18"/>
          <w:szCs w:val="18"/>
        </w:rPr>
        <w:t xml:space="preserve">En espera (On Hold) de confirmación por fábrica.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Soporte General / Solventes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1000iu a 10000iu viales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HG1K a G10K</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(Monitoreo Estricto)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Hormona gonadotropina coriónica de soporte endocrino.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Hexarelin</w:t>
      </w:r>
    </w:p>
    <w:p>
      <w:pPr>
        <w:keepNext/>
        <w:spacing w:after="160" w:before="0" w:line="276"/>
        <w:jc w:val="left"/>
      </w:pPr>
      <w:r>
        <w:rPr>
          <w:rFonts w:ascii="Aptos" w:cs="Aptos" w:eastAsia="Aptos" w:hAnsi="Aptos"/>
          <w:b w:val="false"/>
          <w:bCs w:val="false"/>
          <w:i/>
          <w:iCs/>
          <w:color w:val="6B7078"/>
          <w:sz w:val="18"/>
          <w:szCs w:val="18"/>
        </w:rPr>
        <w:t xml:space="preserve">Secretagogo de alta potencia. Puede saturar receptores.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2mg*10vials / 5mg*10vials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 / 5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HX2 / HX5</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Secretagogo potente de HGH sin elevación significativa de apetito.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HGH 191AA</w:t>
      </w:r>
    </w:p>
    <w:p>
      <w:pPr>
        <w:keepNext/>
        <w:spacing w:after="160" w:before="0" w:line="276"/>
        <w:jc w:val="left"/>
      </w:pPr>
      <w:r>
        <w:rPr>
          <w:rFonts w:ascii="Aptos" w:cs="Aptos" w:eastAsia="Aptos" w:hAnsi="Aptos"/>
          <w:b w:val="false"/>
          <w:bCs w:val="false"/>
          <w:i/>
          <w:iCs/>
          <w:color w:val="6B7078"/>
          <w:sz w:val="18"/>
          <w:szCs w:val="18"/>
        </w:rPr>
        <w:t xml:space="preserve">Hormona de Crecimiento Humana completa de 191 aminoácidos.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Viales desde 10iu hasta 36iu</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H10 a H36</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Somatotropina recombinante humana de secuencia idéntica.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IGF-1LR3</w:t>
      </w:r>
    </w:p>
    <w:p>
      <w:pPr>
        <w:keepNext/>
        <w:spacing w:after="160" w:before="0" w:line="276"/>
        <w:jc w:val="left"/>
      </w:pPr>
      <w:r>
        <w:rPr>
          <w:rFonts w:ascii="Aptos" w:cs="Aptos" w:eastAsia="Aptos" w:hAnsi="Aptos"/>
          <w:b w:val="false"/>
          <w:bCs w:val="false"/>
          <w:i/>
          <w:iCs/>
          <w:color w:val="6B7078"/>
          <w:sz w:val="18"/>
          <w:szCs w:val="18"/>
        </w:rPr>
        <w:t xml:space="preserve">Factor de Crecimiento Insulínico modificado de larga duración.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0.1mg*10vials / 1mg*10vials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0.1 / 1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IGF-01 / IGF-1</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 / Ácido Acético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Factor de crecimiento insulínico de acción prolongada.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Ipamorelin</w:t>
      </w:r>
    </w:p>
    <w:p>
      <w:pPr>
        <w:keepNext/>
        <w:spacing w:after="160" w:before="0" w:line="276"/>
        <w:jc w:val="left"/>
      </w:pPr>
      <w:r>
        <w:rPr>
          <w:rFonts w:ascii="Aptos" w:cs="Aptos" w:eastAsia="Aptos" w:hAnsi="Aptos"/>
          <w:b w:val="false"/>
          <w:bCs w:val="false"/>
          <w:i/>
          <w:iCs/>
          <w:color w:val="6B7078"/>
          <w:sz w:val="18"/>
          <w:szCs w:val="18"/>
        </w:rPr>
        <w:t xml:space="preserve">Secretagogo altamente selectivo. No altera los niveles de cortisol.</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IPA5 / IPA10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Agonista altamente selectivo de GHS-R sin alteración de cortisol.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L-Carnitine</w:t>
      </w:r>
    </w:p>
    <w:p>
      <w:pPr>
        <w:keepNext/>
        <w:spacing w:after="160" w:before="0" w:line="276"/>
        <w:jc w:val="left"/>
      </w:pPr>
      <w:r>
        <w:rPr>
          <w:rFonts w:ascii="Aptos" w:cs="Aptos" w:eastAsia="Aptos" w:hAnsi="Aptos"/>
          <w:b w:val="false"/>
          <w:bCs w:val="false"/>
          <w:i/>
          <w:iCs/>
          <w:color w:val="6B7078"/>
          <w:sz w:val="18"/>
          <w:szCs w:val="18"/>
        </w:rPr>
        <w:t xml:space="preserve">Formulación líquida lista para su uso.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600mg / 1200mg (10ml viales)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LC600 / LC1200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Ya viene en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Transportador mitocondrial de ácidos grasos.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Lemon Bottle</w:t>
      </w:r>
    </w:p>
    <w:p>
      <w:pPr>
        <w:keepNext/>
        <w:spacing w:after="160" w:before="0" w:line="276"/>
        <w:jc w:val="left"/>
      </w:pPr>
      <w:r>
        <w:rPr>
          <w:rFonts w:ascii="Aptos" w:cs="Aptos" w:eastAsia="Aptos" w:hAnsi="Aptos"/>
          <w:b w:val="false"/>
          <w:bCs w:val="false"/>
          <w:i/>
          <w:iCs/>
          <w:color w:val="6B7078"/>
          <w:sz w:val="18"/>
          <w:szCs w:val="18"/>
        </w:rPr>
        <w:t xml:space="preserve">Solución lipolítica basada en Riboflavina.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Soporte General / Solventes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10ml*10vials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LE-001001</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Ya viene en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Solución lipolítica tópica o de soporte complementario.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Lipo-C</w:t>
      </w:r>
    </w:p>
    <w:p>
      <w:pPr>
        <w:keepNext/>
        <w:spacing w:after="160" w:before="0" w:line="276"/>
        <w:jc w:val="left"/>
      </w:pPr>
      <w:r>
        <w:rPr>
          <w:rFonts w:ascii="Aptos" w:cs="Aptos" w:eastAsia="Aptos" w:hAnsi="Aptos"/>
          <w:b w:val="false"/>
          <w:bCs w:val="false"/>
          <w:i/>
          <w:iCs/>
          <w:color w:val="6B7078"/>
          <w:sz w:val="18"/>
          <w:szCs w:val="18"/>
        </w:rPr>
        <w:t xml:space="preserve">Cóctel lipotrópico con complejo B.</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10ml viales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LP-2161001 / MIC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Ya viene en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Complejo lipotrópico de soporte metabólico hepático.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Lipo-C +B12</w:t>
      </w:r>
    </w:p>
    <w:p>
      <w:pPr>
        <w:keepNext/>
        <w:spacing w:after="160" w:before="0" w:line="276"/>
        <w:jc w:val="left"/>
      </w:pPr>
      <w:r>
        <w:rPr>
          <w:rFonts w:ascii="Aptos" w:cs="Aptos" w:eastAsia="Aptos" w:hAnsi="Aptos"/>
          <w:b w:val="false"/>
          <w:bCs w:val="false"/>
          <w:i/>
          <w:iCs/>
          <w:color w:val="6B7078"/>
          <w:sz w:val="18"/>
          <w:szCs w:val="18"/>
        </w:rPr>
        <w:t xml:space="preserve">Cóctel lipotrópico con complejo B.</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10ml viales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LP-2161001 / MIC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Ya viene en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Complejo lipotrópico reforzado con vitamina B12.</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Mazdutide</w:t>
      </w:r>
    </w:p>
    <w:p>
      <w:pPr>
        <w:keepNext/>
        <w:spacing w:after="160" w:before="0" w:line="276"/>
        <w:jc w:val="left"/>
      </w:pPr>
      <w:r>
        <w:rPr>
          <w:rFonts w:ascii="Aptos" w:cs="Aptos" w:eastAsia="Aptos" w:hAnsi="Aptos"/>
          <w:b w:val="false"/>
          <w:bCs w:val="false"/>
          <w:i/>
          <w:iCs/>
          <w:color w:val="6B7078"/>
          <w:sz w:val="18"/>
          <w:szCs w:val="18"/>
        </w:rPr>
        <w:t xml:space="preserve">Co-agonista dual OXM/GLP-1 extendido.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MAZ5 / MAZ10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Co-agonista dual de GLP-1 y receptor de glucagón.</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MOTS-C</w:t>
      </w:r>
    </w:p>
    <w:p>
      <w:pPr>
        <w:keepNext/>
        <w:spacing w:after="160" w:before="0" w:line="276"/>
        <w:jc w:val="left"/>
      </w:pPr>
      <w:r>
        <w:rPr>
          <w:rFonts w:ascii="Aptos" w:cs="Aptos" w:eastAsia="Aptos" w:hAnsi="Aptos"/>
          <w:b w:val="false"/>
          <w:bCs w:val="false"/>
          <w:i/>
          <w:iCs/>
          <w:color w:val="6B7078"/>
          <w:sz w:val="18"/>
          <w:szCs w:val="18"/>
        </w:rPr>
        <w:t xml:space="preserve">Péptido mitocondrial. Regula la homeostasis metabólica.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 / 20mg / 40mg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 20 / 40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MS10 / MS20 / MS40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derivado de mitocondrias para homeostasis energética.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Retatrutide</w:t>
      </w:r>
    </w:p>
    <w:p>
      <w:pPr>
        <w:keepNext/>
        <w:spacing w:after="160" w:before="0" w:line="276"/>
        <w:jc w:val="left"/>
      </w:pPr>
      <w:r>
        <w:rPr>
          <w:rFonts w:ascii="Aptos" w:cs="Aptos" w:eastAsia="Aptos" w:hAnsi="Aptos"/>
          <w:b w:val="false"/>
          <w:bCs w:val="false"/>
          <w:i/>
          <w:iCs/>
          <w:color w:val="6B7078"/>
          <w:sz w:val="18"/>
          <w:szCs w:val="18"/>
        </w:rPr>
        <w:t xml:space="preserve">Triple agonista (GIP/GLP-1/Glucagón).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Viales desde 5mg hasta 60mg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RT5 a RT60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Triple agonista GIP, GLP-1 y Glucagón. Estimula insulina y acelera gasto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Semaglutide</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Lipólisis / Incretinas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Agonista selectivo de GLP-1. Retrasa vaciado gástrico y suprime apetito.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Sermorelin Acetate</w:t>
      </w:r>
    </w:p>
    <w:p>
      <w:pPr>
        <w:keepNext/>
        <w:spacing w:after="160" w:before="0" w:line="276"/>
        <w:jc w:val="left"/>
      </w:pPr>
      <w:r>
        <w:rPr>
          <w:rFonts w:ascii="Aptos" w:cs="Aptos" w:eastAsia="Aptos" w:hAnsi="Aptos"/>
          <w:b w:val="false"/>
          <w:bCs w:val="false"/>
          <w:i/>
          <w:iCs/>
          <w:color w:val="6B7078"/>
          <w:sz w:val="18"/>
          <w:szCs w:val="18"/>
        </w:rPr>
        <w:t xml:space="preserve">Análogo de GHRH nativa. Estimula la glándula pituitaria.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SMO5 / SMO10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Análogo de GHRH para estímulo natural del eje somatotropo.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SS-31</w:t>
      </w:r>
    </w:p>
    <w:p>
      <w:pPr>
        <w:keepNext/>
        <w:spacing w:after="160" w:before="0" w:line="276"/>
        <w:jc w:val="left"/>
      </w:pPr>
      <w:r>
        <w:rPr>
          <w:rFonts w:ascii="Aptos" w:cs="Aptos" w:eastAsia="Aptos" w:hAnsi="Aptos"/>
          <w:b w:val="false"/>
          <w:bCs w:val="false"/>
          <w:i/>
          <w:iCs/>
          <w:color w:val="6B7078"/>
          <w:sz w:val="18"/>
          <w:szCs w:val="18"/>
        </w:rPr>
        <w:t xml:space="preserve">Dirigido a la cardiolipina mitocondrial. Optimiza ATP.</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 / 50mg*10vials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 50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2S10 / 2S50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dirigido a mitocondrias para protección de membrana interna.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TB500</w:t>
      </w:r>
    </w:p>
    <w:p>
      <w:pPr>
        <w:keepNext/>
        <w:spacing w:after="160" w:before="0" w:line="276"/>
        <w:jc w:val="left"/>
      </w:pPr>
      <w:r>
        <w:rPr>
          <w:rFonts w:ascii="Aptos" w:cs="Aptos" w:eastAsia="Aptos" w:hAnsi="Aptos"/>
          <w:b w:val="false"/>
          <w:bCs w:val="false"/>
          <w:i/>
          <w:iCs/>
          <w:color w:val="6B7078"/>
          <w:sz w:val="18"/>
          <w:szCs w:val="18"/>
        </w:rPr>
        <w:t xml:space="preserve">Secuencia sintética de la Timosina Beta-4. Trabaja por acumulación.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TB5 / TB10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Secuestra actina G promoviendo migración celular y remodelación de colágeno.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Tesamorelin</w:t>
      </w:r>
    </w:p>
    <w:p>
      <w:pPr>
        <w:keepNext/>
        <w:spacing w:after="160" w:before="0" w:line="276"/>
        <w:jc w:val="left"/>
      </w:pPr>
      <w:r>
        <w:rPr>
          <w:rFonts w:ascii="Aptos" w:cs="Aptos" w:eastAsia="Aptos" w:hAnsi="Aptos"/>
          <w:b w:val="false"/>
          <w:bCs w:val="false"/>
          <w:i/>
          <w:iCs/>
          <w:color w:val="6B7078"/>
          <w:sz w:val="18"/>
          <w:szCs w:val="18"/>
        </w:rPr>
        <w:t xml:space="preserve">Optimizado para reducir la grasa visceral profunda.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Eje Somatotrópico / HGH</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 / 20mg*10vials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 20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TSM5 / TSM10 / TSM20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Congelación -20°C (Polvo) / 2°C-8°C (Líquido)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Factor liberador de hormona de crecimiento de diseño clínico.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3A3F47" w:sz="8" w:space="6"/>
        </w:pBdr>
        <w:spacing w:after="30" w:before="120"/>
      </w:pPr>
      <w:r>
        <w:rPr>
          <w:rFonts w:ascii="Aptos" w:cs="Aptos" w:eastAsia="Aptos" w:hAnsi="Aptos"/>
          <w:b/>
          <w:bCs/>
          <w:color w:val="111111"/>
          <w:sz w:val="26"/>
          <w:szCs w:val="26"/>
        </w:rPr>
        <w:t xml:space="preserve">Tirzepatide</w:t>
      </w:r>
    </w:p>
    <w:p>
      <w:pPr>
        <w:keepNext/>
        <w:spacing w:after="160" w:before="0" w:line="276"/>
        <w:jc w:val="left"/>
      </w:pPr>
      <w:r>
        <w:rPr>
          <w:rFonts w:ascii="Aptos" w:cs="Aptos" w:eastAsia="Aptos" w:hAnsi="Aptos"/>
          <w:b w:val="false"/>
          <w:bCs w:val="false"/>
          <w:i/>
          <w:iCs/>
          <w:color w:val="6B7078"/>
          <w:sz w:val="18"/>
          <w:szCs w:val="18"/>
        </w:rPr>
        <w:t xml:space="preserve">Co-agonista dual GIP/GLP-1.</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Metabolismo / Pérdida de Grasa</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Viales desde 5mg hasta 60mg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TR5 a TR60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Proteger de la Luz / 2°C a 8°C Refrigerado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Co-agonista dual de receptores GIP y GLP-1 con sinergia metabólica superior.</w:t>
            </w:r>
          </w:p>
        </w:tc>
      </w:tr>
    </w:tbl>
    <w:p>
      <w:r>
        <w:br w:type="page"/>
      </w:r>
    </w:p>
    <w:p>
      <w:pPr>
        <w:spacing w:after="260" w:before="900"/>
        <w:jc w:val="center"/>
      </w:pPr>
      <w:r>
        <w:drawing>
          <wp:inline distT="0" distB="0" distL="0" distR="0">
            <wp:extent cx="2857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52450"/>
                    </a:xfrm>
                    <a:prstGeom prst="rect">
                      <a:avLst/>
                    </a:prstGeom>
                  </pic:spPr>
                </pic:pic>
              </a:graphicData>
            </a:graphic>
          </wp:inline>
        </w:drawing>
      </w:r>
    </w:p>
    <w:p>
      <w:pPr>
        <w:pStyle w:val="Heading1"/>
        <w:spacing w:after="100"/>
        <w:jc w:val="center"/>
      </w:pPr>
      <w:r>
        <w:rPr>
          <w:rFonts w:ascii="Aptos" w:cs="Aptos" w:eastAsia="Aptos" w:hAnsi="Aptos"/>
          <w:b/>
          <w:bCs/>
          <w:color w:val="B87351"/>
          <w:spacing w:val="140"/>
          <w:sz w:val="34"/>
          <w:szCs w:val="34"/>
        </w:rPr>
        <w:t xml:space="preserve">BEAUTY</w:t>
      </w:r>
    </w:p>
    <w:p>
      <w:pPr>
        <w:keepNext w:val="false"/>
        <w:spacing w:after="80" w:before="0" w:line="276"/>
        <w:jc w:val="center"/>
      </w:pPr>
      <w:r>
        <w:rPr>
          <w:rFonts w:ascii="Aptos" w:cs="Aptos" w:eastAsia="Aptos" w:hAnsi="Aptos"/>
          <w:b w:val="false"/>
          <w:bCs w:val="false"/>
          <w:i/>
          <w:iCs/>
          <w:color w:val="6B7078"/>
          <w:sz w:val="19"/>
          <w:szCs w:val="19"/>
        </w:rPr>
        <w:t xml:space="preserve">Piel, pigmento y matriz de colágeno</w:t>
      </w:r>
    </w:p>
    <w:p>
      <w:pPr>
        <w:keepNext w:val="false"/>
        <w:spacing w:after="0" w:before="0" w:line="276"/>
        <w:jc w:val="center"/>
      </w:pPr>
      <w:r>
        <w:rPr>
          <w:rFonts w:ascii="Aptos" w:cs="Aptos" w:eastAsia="Aptos" w:hAnsi="Aptos"/>
          <w:b w:val="false"/>
          <w:bCs w:val="false"/>
          <w:i w:val="false"/>
          <w:iCs w:val="false"/>
          <w:color w:val="6B7078"/>
          <w:spacing w:val="70"/>
          <w:sz w:val="16"/>
          <w:szCs w:val="16"/>
        </w:rPr>
        <w:t xml:space="preserve">11 referencias</w:t>
      </w:r>
    </w:p>
    <w:p>
      <w:r>
        <w:br w:type="page"/>
      </w:r>
    </w:p>
    <w:p>
      <w:pPr>
        <w:pStyle w:val="Heading2"/>
        <w:keepNext/>
        <w:pBdr>
          <w:bottom w:val="single" w:color="B87351" w:sz="8" w:space="6"/>
        </w:pBdr>
        <w:spacing w:after="30" w:before="120"/>
      </w:pPr>
      <w:r>
        <w:rPr>
          <w:rFonts w:ascii="Aptos" w:cs="Aptos" w:eastAsia="Aptos" w:hAnsi="Aptos"/>
          <w:b/>
          <w:bCs/>
          <w:color w:val="111111"/>
          <w:sz w:val="26"/>
          <w:szCs w:val="26"/>
        </w:rPr>
        <w:t xml:space="preserve">AHK-CU</w:t>
      </w:r>
    </w:p>
    <w:p>
      <w:pPr>
        <w:keepNext/>
        <w:spacing w:after="160" w:before="0" w:line="276"/>
        <w:jc w:val="left"/>
      </w:pPr>
      <w:r>
        <w:rPr>
          <w:rFonts w:ascii="Aptos" w:cs="Aptos" w:eastAsia="Aptos" w:hAnsi="Aptos"/>
          <w:b w:val="false"/>
          <w:bCs w:val="false"/>
          <w:i/>
          <w:iCs/>
          <w:color w:val="6B7078"/>
          <w:sz w:val="18"/>
          <w:szCs w:val="18"/>
        </w:rPr>
        <w:t xml:space="preserve">Péptido de cobre para proliferación de fibroblastos.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20mg*10vials / 50mg*10vials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AC-002001 / AC-005001</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Agente de soporte estructural y coenzima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GHK-CU</w:t>
      </w:r>
    </w:p>
    <w:p>
      <w:pPr>
        <w:keepNext/>
        <w:spacing w:after="160" w:before="0" w:line="276"/>
        <w:jc w:val="left"/>
      </w:pPr>
      <w:r>
        <w:rPr>
          <w:rFonts w:ascii="Aptos" w:cs="Aptos" w:eastAsia="Aptos" w:hAnsi="Aptos"/>
          <w:b w:val="false"/>
          <w:bCs w:val="false"/>
          <w:i/>
          <w:iCs/>
          <w:color w:val="6B7078"/>
          <w:sz w:val="18"/>
          <w:szCs w:val="18"/>
        </w:rPr>
        <w:t xml:space="preserve">Péptido tripéptido de cobre nativo. Tinte azul natural.</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50mg*10vials / 100mg*10vials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25 / 50 mg/mL  ·  al reconstituir con 2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CU50 / CU100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regulador que estimula angiogénesis y remodelación matriz.</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GHK-Cu + BPC157 + TB500 (+KPV)</w:t>
      </w:r>
    </w:p>
    <w:p>
      <w:pPr>
        <w:keepNext/>
        <w:spacing w:after="160" w:before="0" w:line="276"/>
        <w:jc w:val="left"/>
      </w:pPr>
      <w:r>
        <w:rPr>
          <w:rFonts w:ascii="Aptos" w:cs="Aptos" w:eastAsia="Aptos" w:hAnsi="Aptos"/>
          <w:b w:val="false"/>
          <w:bCs w:val="false"/>
          <w:i/>
          <w:iCs/>
          <w:color w:val="6B7078"/>
          <w:sz w:val="18"/>
          <w:szCs w:val="18"/>
        </w:rPr>
        <w:t xml:space="preserve">Mezcla multi-péptido compleja de alta concentración.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Regeneración Tisular / Cicatrización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70mg*10vials / 80mg*10vials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35 / 40 mg/mL  ·  al reconstituir con 2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GLOW70 / KLOW80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Matriz ampliada con péptido antiinflamatorio KPV.</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Glutathione</w:t>
      </w:r>
    </w:p>
    <w:p>
      <w:pPr>
        <w:keepNext/>
        <w:spacing w:after="160" w:before="0" w:line="276"/>
        <w:jc w:val="left"/>
      </w:pPr>
      <w:r>
        <w:rPr>
          <w:rFonts w:ascii="Aptos" w:cs="Aptos" w:eastAsia="Aptos" w:hAnsi="Aptos"/>
          <w:b w:val="false"/>
          <w:bCs w:val="false"/>
          <w:i/>
          <w:iCs/>
          <w:color w:val="6B7078"/>
          <w:sz w:val="18"/>
          <w:szCs w:val="18"/>
        </w:rPr>
        <w:t xml:space="preserve">Antioxidante maestro intracelular de alta masa.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Soporte General / Solventes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600mg / 1500mg viales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200 / 500 mg/mL  ·  al reconstituir con 3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GT600 / GT1500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Antioxidante maestro de soporte sistémico y celular.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KPV</w:t>
      </w:r>
    </w:p>
    <w:p>
      <w:pPr>
        <w:keepNext/>
        <w:spacing w:after="160" w:before="0" w:line="276"/>
        <w:jc w:val="left"/>
      </w:pPr>
      <w:r>
        <w:rPr>
          <w:rFonts w:ascii="Aptos" w:cs="Aptos" w:eastAsia="Aptos" w:hAnsi="Aptos"/>
          <w:b w:val="false"/>
          <w:bCs w:val="false"/>
          <w:i/>
          <w:iCs/>
          <w:color w:val="6B7078"/>
          <w:sz w:val="18"/>
          <w:szCs w:val="18"/>
        </w:rPr>
        <w:t xml:space="preserve">Péptido antiinflamatorio derivado de la Alfa-MSH.</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KP5 / KP10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antiinflamatorio derivado de la alfa-MSH.</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Matrixyl</w:t>
      </w:r>
    </w:p>
    <w:p>
      <w:pPr>
        <w:keepNext/>
        <w:spacing w:after="160" w:before="0" w:line="276"/>
        <w:jc w:val="left"/>
      </w:pPr>
      <w:r>
        <w:rPr>
          <w:rFonts w:ascii="Aptos" w:cs="Aptos" w:eastAsia="Aptos" w:hAnsi="Aptos"/>
          <w:b w:val="false"/>
          <w:bCs w:val="false"/>
          <w:i/>
          <w:iCs/>
          <w:color w:val="6B7078"/>
          <w:sz w:val="18"/>
          <w:szCs w:val="18"/>
        </w:rPr>
        <w:t xml:space="preserve">Péptido enfocado en la síntesis de colágeno tisular.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MX10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cosmético de soporte estructural de matriz extracelular.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Melanotan I</w:t>
      </w:r>
    </w:p>
    <w:p>
      <w:pPr>
        <w:keepNext/>
        <w:spacing w:after="160" w:before="0" w:line="276"/>
        <w:jc w:val="left"/>
      </w:pPr>
      <w:r>
        <w:rPr>
          <w:rFonts w:ascii="Aptos" w:cs="Aptos" w:eastAsia="Aptos" w:hAnsi="Aptos"/>
          <w:b w:val="false"/>
          <w:bCs w:val="false"/>
          <w:i/>
          <w:iCs/>
          <w:color w:val="6B7078"/>
          <w:sz w:val="18"/>
          <w:szCs w:val="18"/>
        </w:rPr>
        <w:t xml:space="preserve">Análogos sintéticos de la hormona estimulante de melanocitos.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MT-1 / MT-2</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Análogo de alfa-MSH para estimulación de melanogénesis.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Melanotan II</w:t>
      </w:r>
    </w:p>
    <w:p>
      <w:pPr>
        <w:keepNext/>
        <w:spacing w:after="160" w:before="0" w:line="276"/>
        <w:jc w:val="left"/>
      </w:pPr>
      <w:r>
        <w:rPr>
          <w:rFonts w:ascii="Aptos" w:cs="Aptos" w:eastAsia="Aptos" w:hAnsi="Aptos"/>
          <w:b w:val="false"/>
          <w:bCs w:val="false"/>
          <w:i/>
          <w:iCs/>
          <w:color w:val="6B7078"/>
          <w:sz w:val="18"/>
          <w:szCs w:val="18"/>
        </w:rPr>
        <w:t xml:space="preserve">Análogos sintéticos de la hormona estimulante de melanocitos.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MT-1 / MT-2</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Análogo de alfa-MSH con efectos sistémicos y melanogénicos.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Oxytocin Acetate</w:t>
      </w:r>
    </w:p>
    <w:p>
      <w:pPr>
        <w:keepNext/>
        <w:spacing w:after="160" w:before="0" w:line="276"/>
        <w:jc w:val="left"/>
      </w:pPr>
      <w:r>
        <w:rPr>
          <w:rFonts w:ascii="Aptos" w:cs="Aptos" w:eastAsia="Aptos" w:hAnsi="Aptos"/>
          <w:b w:val="false"/>
          <w:bCs w:val="false"/>
          <w:i/>
          <w:iCs/>
          <w:color w:val="6B7078"/>
          <w:sz w:val="18"/>
          <w:szCs w:val="18"/>
        </w:rPr>
        <w:t xml:space="preserve">Neuropéptido hormonal altamente sensible.</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OT5</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Neuropéptido modulador de conducta social y respuesta al estrés.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PT141</w:t>
      </w:r>
    </w:p>
    <w:p>
      <w:pPr>
        <w:keepNext/>
        <w:spacing w:after="160" w:before="0" w:line="276"/>
        <w:jc w:val="left"/>
      </w:pPr>
      <w:r>
        <w:rPr>
          <w:rFonts w:ascii="Aptos" w:cs="Aptos" w:eastAsia="Aptos" w:hAnsi="Aptos"/>
          <w:b w:val="false"/>
          <w:bCs w:val="false"/>
          <w:i/>
          <w:iCs/>
          <w:color w:val="6B7078"/>
          <w:sz w:val="18"/>
          <w:szCs w:val="18"/>
        </w:rPr>
        <w:t xml:space="preserve">Agonista de melanocortina activo a nivel del SNC.</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PT41</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Melanocortina sintética moduladora de receptores en SNC.</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B87351" w:sz="8" w:space="6"/>
        </w:pBdr>
        <w:spacing w:after="30" w:before="120"/>
      </w:pPr>
      <w:r>
        <w:rPr>
          <w:rFonts w:ascii="Aptos" w:cs="Aptos" w:eastAsia="Aptos" w:hAnsi="Aptos"/>
          <w:b/>
          <w:bCs/>
          <w:color w:val="111111"/>
          <w:sz w:val="26"/>
          <w:szCs w:val="26"/>
        </w:rPr>
        <w:t xml:space="preserve">Snap-8</w:t>
      </w:r>
    </w:p>
    <w:p>
      <w:pPr>
        <w:keepNext/>
        <w:spacing w:after="160" w:before="0" w:line="276"/>
        <w:jc w:val="left"/>
      </w:pPr>
      <w:r>
        <w:rPr>
          <w:rFonts w:ascii="Aptos" w:cs="Aptos" w:eastAsia="Aptos" w:hAnsi="Aptos"/>
          <w:b w:val="false"/>
          <w:bCs w:val="false"/>
          <w:i/>
          <w:iCs/>
          <w:color w:val="6B7078"/>
          <w:sz w:val="18"/>
          <w:szCs w:val="18"/>
        </w:rPr>
        <w:t xml:space="preserve">Octapéptido para estudios de contracción neuromuscular.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NP810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antiarrugas de soporte en matriz tisular local.</w:t>
            </w:r>
          </w:p>
        </w:tc>
      </w:tr>
    </w:tbl>
    <w:p>
      <w:r>
        <w:br w:type="page"/>
      </w:r>
    </w:p>
    <w:p>
      <w:pPr>
        <w:spacing w:after="260" w:before="900"/>
        <w:jc w:val="center"/>
      </w:pPr>
      <w:r>
        <w:drawing>
          <wp:inline distT="0" distB="0" distL="0" distR="0">
            <wp:extent cx="2857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552450"/>
                    </a:xfrm>
                    <a:prstGeom prst="rect">
                      <a:avLst/>
                    </a:prstGeom>
                  </pic:spPr>
                </pic:pic>
              </a:graphicData>
            </a:graphic>
          </wp:inline>
        </w:drawing>
      </w:r>
    </w:p>
    <w:p>
      <w:pPr>
        <w:pStyle w:val="Heading1"/>
        <w:spacing w:after="100"/>
        <w:jc w:val="center"/>
      </w:pPr>
      <w:r>
        <w:rPr>
          <w:rFonts w:ascii="Aptos" w:cs="Aptos" w:eastAsia="Aptos" w:hAnsi="Aptos"/>
          <w:b/>
          <w:bCs/>
          <w:color w:val="8A9099"/>
          <w:spacing w:val="140"/>
          <w:sz w:val="34"/>
          <w:szCs w:val="34"/>
        </w:rPr>
        <w:t xml:space="preserve">LONGEVITY</w:t>
      </w:r>
    </w:p>
    <w:p>
      <w:pPr>
        <w:keepNext w:val="false"/>
        <w:spacing w:after="80" w:before="0" w:line="276"/>
        <w:jc w:val="center"/>
      </w:pPr>
      <w:r>
        <w:rPr>
          <w:rFonts w:ascii="Aptos" w:cs="Aptos" w:eastAsia="Aptos" w:hAnsi="Aptos"/>
          <w:b w:val="false"/>
          <w:bCs w:val="false"/>
          <w:i/>
          <w:iCs/>
          <w:color w:val="6B7078"/>
          <w:sz w:val="19"/>
          <w:szCs w:val="19"/>
        </w:rPr>
        <w:t xml:space="preserve">Neuroprotección, sueño y función mitocondrial</w:t>
      </w:r>
    </w:p>
    <w:p>
      <w:pPr>
        <w:keepNext w:val="false"/>
        <w:spacing w:after="0" w:before="0" w:line="276"/>
        <w:jc w:val="center"/>
      </w:pPr>
      <w:r>
        <w:rPr>
          <w:rFonts w:ascii="Aptos" w:cs="Aptos" w:eastAsia="Aptos" w:hAnsi="Aptos"/>
          <w:b w:val="false"/>
          <w:bCs w:val="false"/>
          <w:i w:val="false"/>
          <w:iCs w:val="false"/>
          <w:color w:val="6B7078"/>
          <w:spacing w:val="70"/>
          <w:sz w:val="16"/>
          <w:szCs w:val="16"/>
        </w:rPr>
        <w:t xml:space="preserve">14 referencias</w:t>
      </w:r>
    </w:p>
    <w:p>
      <w:r>
        <w:br w:type="page"/>
      </w:r>
    </w:p>
    <w:p>
      <w:pPr>
        <w:pStyle w:val="Heading2"/>
        <w:keepNext/>
        <w:pBdr>
          <w:bottom w:val="single" w:color="8A9099" w:sz="8" w:space="6"/>
        </w:pBdr>
        <w:spacing w:after="30" w:before="120"/>
      </w:pPr>
      <w:r>
        <w:rPr>
          <w:rFonts w:ascii="Aptos" w:cs="Aptos" w:eastAsia="Aptos" w:hAnsi="Aptos"/>
          <w:b/>
          <w:bCs/>
          <w:color w:val="111111"/>
          <w:sz w:val="26"/>
          <w:szCs w:val="26"/>
        </w:rPr>
        <w:t xml:space="preserve">B12</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Soporte Estándar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Agente de soporte estructural y coenzima mitocondrial.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Cartalax</w:t>
      </w:r>
    </w:p>
    <w:p>
      <w:pPr>
        <w:keepNext/>
        <w:spacing w:after="160" w:before="0" w:line="276"/>
        <w:jc w:val="left"/>
      </w:pPr>
      <w:r>
        <w:rPr>
          <w:rFonts w:ascii="Aptos" w:cs="Aptos" w:eastAsia="Aptos" w:hAnsi="Aptos"/>
          <w:b w:val="false"/>
          <w:bCs w:val="false"/>
          <w:i/>
          <w:iCs/>
          <w:color w:val="6B7078"/>
          <w:sz w:val="18"/>
          <w:szCs w:val="18"/>
        </w:rPr>
        <w:t xml:space="preserve">Péptido bioregulador de vasos sanguíneos y tejido conectivo.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13.33 mg/mL  ·  al reconstituir con 1.5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CTL20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regulador de modulación tisular y celular.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Dihexa</w:t>
      </w:r>
    </w:p>
    <w:p>
      <w:pPr>
        <w:keepNext/>
        <w:spacing w:after="160" w:before="0" w:line="276"/>
        <w:jc w:val="left"/>
      </w:pPr>
      <w:r>
        <w:rPr>
          <w:rFonts w:ascii="Aptos" w:cs="Aptos" w:eastAsia="Aptos" w:hAnsi="Aptos"/>
          <w:b w:val="false"/>
          <w:bCs w:val="false"/>
          <w:i/>
          <w:iCs/>
          <w:color w:val="6B7078"/>
          <w:sz w:val="18"/>
          <w:szCs w:val="18"/>
        </w:rPr>
        <w:t xml:space="preserve">Oligopéptido derivado de angiotensina IV. Soporte sináptico.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Dihexa5 / Dihexa10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Modulación de factores neurotróficos para alta plasticidad sináptica.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DSIP</w:t>
      </w:r>
    </w:p>
    <w:p>
      <w:pPr>
        <w:keepNext/>
        <w:spacing w:after="160" w:before="0" w:line="276"/>
        <w:jc w:val="left"/>
      </w:pPr>
      <w:r>
        <w:rPr>
          <w:rFonts w:ascii="Aptos" w:cs="Aptos" w:eastAsia="Aptos" w:hAnsi="Aptos"/>
          <w:b w:val="false"/>
          <w:bCs w:val="false"/>
          <w:i/>
          <w:iCs/>
          <w:color w:val="6B7078"/>
          <w:sz w:val="18"/>
          <w:szCs w:val="18"/>
        </w:rPr>
        <w:t xml:space="preserve">Péptido inductor del sueño profundo Delta.</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 / 12mg*10vials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 12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DS5 / DS10 / DS12</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Modulación de neurotransmisores para plasticidad y descanso.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Epithalon</w:t>
      </w:r>
    </w:p>
    <w:p>
      <w:pPr>
        <w:keepNext/>
        <w:spacing w:after="160" w:before="0" w:line="276"/>
        <w:jc w:val="left"/>
      </w:pPr>
      <w:r>
        <w:rPr>
          <w:rFonts w:ascii="Aptos" w:cs="Aptos" w:eastAsia="Aptos" w:hAnsi="Aptos"/>
          <w:b w:val="false"/>
          <w:bCs w:val="false"/>
          <w:i/>
          <w:iCs/>
          <w:color w:val="6B7078"/>
          <w:sz w:val="18"/>
          <w:szCs w:val="18"/>
        </w:rPr>
        <w:t xml:space="preserve">Péptido bioregulador pineal empleado en ciclos cerrados.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 / 50mg*10vials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 50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ET10 / ET50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regulador de la telomerasa y regeneración tisular.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FOXO4-DRI</w:t>
      </w:r>
    </w:p>
    <w:p>
      <w:pPr>
        <w:keepNext/>
        <w:spacing w:after="160" w:before="0" w:line="276"/>
        <w:jc w:val="left"/>
      </w:pPr>
      <w:r>
        <w:rPr>
          <w:rFonts w:ascii="Aptos" w:cs="Aptos" w:eastAsia="Aptos" w:hAnsi="Aptos"/>
          <w:b w:val="false"/>
          <w:bCs w:val="false"/>
          <w:i/>
          <w:iCs/>
          <w:color w:val="6B7078"/>
          <w:sz w:val="18"/>
          <w:szCs w:val="18"/>
        </w:rPr>
        <w:t xml:space="preserve">Péptido senolítico diseñado para inducir la apoptosis celular.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FOXO4-D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Péptido de soporte mitocondrial y senolítico selectivo.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KissPeptin-10</w:t>
      </w:r>
    </w:p>
    <w:p>
      <w:pPr>
        <w:keepNext/>
        <w:spacing w:after="160" w:before="0" w:line="276"/>
        <w:jc w:val="left"/>
      </w:pPr>
      <w:r>
        <w:rPr>
          <w:rFonts w:ascii="Aptos" w:cs="Aptos" w:eastAsia="Aptos" w:hAnsi="Aptos"/>
          <w:b w:val="false"/>
          <w:bCs w:val="false"/>
          <w:i/>
          <w:iCs/>
          <w:color w:val="6B7078"/>
          <w:sz w:val="18"/>
          <w:szCs w:val="18"/>
        </w:rPr>
        <w:t xml:space="preserve">Péptido regulador del eje reproductivo y gonadotropinas.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KS5 / KS10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Neuromodulador del eje reproductivo y hormonal.</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Melatonin</w:t>
      </w:r>
    </w:p>
    <w:p>
      <w:pPr>
        <w:keepNext/>
        <w:spacing w:after="160" w:before="0" w:line="276"/>
        <w:jc w:val="left"/>
      </w:pPr>
      <w:r>
        <w:rPr>
          <w:rFonts w:ascii="Aptos" w:cs="Aptos" w:eastAsia="Aptos" w:hAnsi="Aptos"/>
          <w:b w:val="false"/>
          <w:bCs w:val="false"/>
          <w:i/>
          <w:iCs/>
          <w:color w:val="6B7078"/>
          <w:sz w:val="18"/>
          <w:szCs w:val="18"/>
        </w:rPr>
        <w:t xml:space="preserve">Regulación avanzada del ritmo circadiano celular.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Melatonin 10mg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Cronobiótico regulador del ciclo circadiano y sueño.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NAD+</w:t>
      </w:r>
    </w:p>
    <w:p>
      <w:pPr>
        <w:keepNext/>
        <w:spacing w:after="160" w:before="0" w:line="276"/>
        <w:jc w:val="left"/>
      </w:pPr>
      <w:r>
        <w:rPr>
          <w:rFonts w:ascii="Aptos" w:cs="Aptos" w:eastAsia="Aptos" w:hAnsi="Aptos"/>
          <w:b w:val="false"/>
          <w:bCs w:val="false"/>
          <w:i/>
          <w:iCs/>
          <w:color w:val="6B7078"/>
          <w:sz w:val="18"/>
          <w:szCs w:val="18"/>
        </w:rPr>
        <w:t xml:space="preserve">Coenzima mitocondrial clave. Alta masa por vial.</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100mg / 500mg / 1000mg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50 / 250 / 500 mg/mL  ·  al reconstituir con 2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NJ100 / NJ500 / NJ1000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Coenzima esencial para metabolismo energético y reparación celular.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Pinealon 10mg</w:t>
      </w:r>
    </w:p>
    <w:p>
      <w:pPr>
        <w:keepNext/>
        <w:spacing w:after="160" w:before="0" w:line="276"/>
        <w:jc w:val="left"/>
      </w:pPr>
      <w:r>
        <w:rPr>
          <w:rFonts w:ascii="Aptos" w:cs="Aptos" w:eastAsia="Aptos" w:hAnsi="Aptos"/>
          <w:b w:val="false"/>
          <w:bCs w:val="false"/>
          <w:i/>
          <w:iCs/>
          <w:color w:val="6B7078"/>
          <w:sz w:val="18"/>
          <w:szCs w:val="18"/>
        </w:rPr>
        <w:t xml:space="preserve">Tripéptido biorregulador cerebral listo en solución.</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10ml*10vials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PI10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Ya viene en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Biorregulador peptídico de soporte neuroprotector y tisular.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Selank</w:t>
      </w:r>
    </w:p>
    <w:p>
      <w:pPr>
        <w:keepNext/>
        <w:spacing w:after="160" w:before="0" w:line="276"/>
        <w:jc w:val="left"/>
      </w:pPr>
      <w:r>
        <w:rPr>
          <w:rFonts w:ascii="Aptos" w:cs="Aptos" w:eastAsia="Aptos" w:hAnsi="Aptos"/>
          <w:b w:val="false"/>
          <w:bCs w:val="false"/>
          <w:i/>
          <w:iCs/>
          <w:color w:val="6B7078"/>
          <w:sz w:val="18"/>
          <w:szCs w:val="18"/>
        </w:rPr>
        <w:t xml:space="preserve">Regulador de la expresión del factor BDNF. Ansiolítico.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SK5 / SK10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Heptapéptido análogo con propiedades ansiolíticas y nootrópicas.</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Semax</w:t>
      </w:r>
    </w:p>
    <w:p>
      <w:pPr>
        <w:keepNext/>
        <w:spacing w:after="160" w:before="0" w:line="276"/>
        <w:jc w:val="left"/>
      </w:pPr>
      <w:r>
        <w:rPr>
          <w:rFonts w:ascii="Aptos" w:cs="Aptos" w:eastAsia="Aptos" w:hAnsi="Aptos"/>
          <w:b w:val="false"/>
          <w:bCs w:val="false"/>
          <w:i/>
          <w:iCs/>
          <w:color w:val="6B7078"/>
          <w:sz w:val="18"/>
          <w:szCs w:val="18"/>
        </w:rPr>
        <w:t xml:space="preserve">Neuropéptido nootrópico. Incrementa la atención y procesos cognitivos.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SX5 / SX10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Modula positivamente la expresión genética de BDNF y NGF en el hipocampo.</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Thymalin</w:t>
      </w:r>
    </w:p>
    <w:p>
      <w:pPr>
        <w:keepNext/>
        <w:spacing w:after="160" w:before="0" w:line="276"/>
        <w:jc w:val="left"/>
      </w:pPr>
      <w:r>
        <w:rPr>
          <w:rFonts w:ascii="Aptos" w:cs="Aptos" w:eastAsia="Aptos" w:hAnsi="Aptos"/>
          <w:b w:val="false"/>
          <w:bCs w:val="false"/>
          <w:i/>
          <w:iCs/>
          <w:color w:val="6B7078"/>
          <w:sz w:val="18"/>
          <w:szCs w:val="18"/>
        </w:rPr>
        <w:t xml:space="preserve">Péptido bioregulador inmune celular del timo.</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TY10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BAC Water</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Biorregulador peptídico con actividad sobre el sistema inmune y tisular.</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Thymosin Alpha-1</w:t>
      </w:r>
    </w:p>
    <w:p>
      <w:pPr>
        <w:keepNext/>
        <w:spacing w:after="160" w:before="0" w:line="276"/>
        <w:jc w:val="left"/>
      </w:pPr>
      <w:r>
        <w:rPr>
          <w:rFonts w:ascii="Aptos" w:cs="Aptos" w:eastAsia="Aptos" w:hAnsi="Aptos"/>
          <w:b w:val="false"/>
          <w:bCs w:val="false"/>
          <w:i/>
          <w:iCs/>
          <w:color w:val="6B7078"/>
          <w:sz w:val="18"/>
          <w:szCs w:val="18"/>
        </w:rPr>
        <w:t xml:space="preserve">Inmunomodulador. Puede requerir solución de Ácido Acético al 1%.</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Neuroprotección / Longevidad</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5mg*10vials / 10mg*10vials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CONCENTRACIÓN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5 / 10 mg/mL  ·  al reconstituir con 1 mL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Ta1 5mg / 10mg</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Acetic Acid 1% / BAC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2°C a 8°C (Cadena de frío comercial)</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Inmunomodulador peptídico derivado del timo.</w:t>
            </w:r>
          </w:p>
        </w:tc>
      </w:tr>
    </w:tbl>
    <w:p>
      <w:r>
        <w:br w:type="page"/>
      </w:r>
    </w:p>
    <w:p>
      <w:pPr>
        <w:keepNext w:val="false"/>
        <w:spacing w:after="120" w:before="900" w:line="276"/>
        <w:jc w:val="center"/>
      </w:pPr>
      <w:r>
        <w:rPr>
          <w:rFonts w:ascii="Aptos" w:cs="Aptos" w:eastAsia="Aptos" w:hAnsi="Aptos"/>
          <w:b/>
          <w:bCs/>
          <w:i w:val="false"/>
          <w:iCs w:val="false"/>
          <w:color w:val="111111"/>
          <w:spacing w:val="140"/>
          <w:sz w:val="26"/>
          <w:szCs w:val="26"/>
        </w:rPr>
        <w:t xml:space="preserve">PEPTIDEX</w:t>
      </w:r>
    </w:p>
    <w:p>
      <w:pPr>
        <w:pStyle w:val="Heading1"/>
        <w:spacing w:after="100"/>
        <w:jc w:val="center"/>
      </w:pPr>
      <w:r>
        <w:rPr>
          <w:rFonts w:ascii="Aptos" w:cs="Aptos" w:eastAsia="Aptos" w:hAnsi="Aptos"/>
          <w:b/>
          <w:bCs/>
          <w:color w:val="8A9099"/>
          <w:spacing w:val="140"/>
          <w:sz w:val="34"/>
          <w:szCs w:val="34"/>
        </w:rPr>
        <w:t xml:space="preserve">SOLVENTES</w:t>
      </w:r>
    </w:p>
    <w:p>
      <w:pPr>
        <w:keepNext w:val="false"/>
        <w:spacing w:after="80" w:before="0" w:line="276"/>
        <w:jc w:val="center"/>
      </w:pPr>
      <w:r>
        <w:rPr>
          <w:rFonts w:ascii="Aptos" w:cs="Aptos" w:eastAsia="Aptos" w:hAnsi="Aptos"/>
          <w:b w:val="false"/>
          <w:bCs w:val="false"/>
          <w:i/>
          <w:iCs/>
          <w:color w:val="6B7078"/>
          <w:sz w:val="19"/>
          <w:szCs w:val="19"/>
        </w:rPr>
        <w:t xml:space="preserve">Vehículos de reconstitución y material de apoyo</w:t>
      </w:r>
    </w:p>
    <w:p>
      <w:pPr>
        <w:keepNext w:val="false"/>
        <w:spacing w:after="0" w:before="0" w:line="276"/>
        <w:jc w:val="center"/>
      </w:pPr>
      <w:r>
        <w:rPr>
          <w:rFonts w:ascii="Aptos" w:cs="Aptos" w:eastAsia="Aptos" w:hAnsi="Aptos"/>
          <w:b w:val="false"/>
          <w:bCs w:val="false"/>
          <w:i w:val="false"/>
          <w:iCs w:val="false"/>
          <w:color w:val="6B7078"/>
          <w:spacing w:val="70"/>
          <w:sz w:val="16"/>
          <w:szCs w:val="16"/>
        </w:rPr>
        <w:t xml:space="preserve">2 referencias</w:t>
      </w:r>
    </w:p>
    <w:p>
      <w:r>
        <w:br w:type="page"/>
      </w:r>
    </w:p>
    <w:p>
      <w:pPr>
        <w:pStyle w:val="Heading2"/>
        <w:keepNext/>
        <w:pBdr>
          <w:bottom w:val="single" w:color="8A9099" w:sz="8" w:space="6"/>
        </w:pBdr>
        <w:spacing w:after="30" w:before="120"/>
      </w:pPr>
      <w:r>
        <w:rPr>
          <w:rFonts w:ascii="Aptos" w:cs="Aptos" w:eastAsia="Aptos" w:hAnsi="Aptos"/>
          <w:b/>
          <w:bCs/>
          <w:color w:val="111111"/>
          <w:sz w:val="26"/>
          <w:szCs w:val="26"/>
        </w:rPr>
        <w:t xml:space="preserve">Acetic Acid solution 1%</w:t>
      </w:r>
    </w:p>
    <w:p>
      <w:pPr>
        <w:keepNext/>
        <w:spacing w:after="160" w:before="0" w:line="276"/>
        <w:jc w:val="left"/>
      </w:pPr>
      <w:r>
        <w:rPr>
          <w:rFonts w:ascii="Aptos" w:cs="Aptos" w:eastAsia="Aptos" w:hAnsi="Aptos"/>
          <w:b w:val="false"/>
          <w:bCs w:val="false"/>
          <w:i/>
          <w:iCs/>
          <w:color w:val="6B7078"/>
          <w:sz w:val="18"/>
          <w:szCs w:val="18"/>
        </w:rPr>
        <w:t xml:space="preserve">Solución ácida para péptidos altamente hidrofóbicos.</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Soporte General / Solventes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PRESENTACIÓN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3ml*10vials / 10ml*10vials</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SKU</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AA3 / AA10</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DISOLVENTE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Solvente puro</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CONSERVACIÓN</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Temperatura Ambiente (15°C - 25°C)</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Solución ácida utilizada como vehículo de reconstitución específica.</w:t>
            </w:r>
          </w:p>
        </w:tc>
      </w:tr>
    </w:tbl>
    <w:p>
      <w:pPr>
        <w:keepNext w:val="false"/>
        <w:spacing w:after="260" w:before="0" w:line="276"/>
        <w:jc w:val="left"/>
      </w:pPr>
      <w:r>
        <w:rPr>
          <w:rFonts w:ascii="Aptos" w:cs="Aptos" w:eastAsia="Aptos" w:hAnsi="Aptos"/>
          <w:b w:val="false"/>
          <w:bCs w:val="false"/>
          <w:i w:val="false"/>
          <w:iCs w:val="false"/>
          <w:color w:val="111111"/>
          <w:sz w:val="20"/>
          <w:szCs w:val="20"/>
        </w:rPr>
        <w:t xml:space="preserve"/>
      </w:r>
    </w:p>
    <w:p>
      <w:pPr>
        <w:pStyle w:val="Heading2"/>
        <w:keepNext/>
        <w:pBdr>
          <w:bottom w:val="single" w:color="8A9099" w:sz="8" w:space="6"/>
        </w:pBdr>
        <w:spacing w:after="30" w:before="120"/>
      </w:pPr>
      <w:r>
        <w:rPr>
          <w:rFonts w:ascii="Aptos" w:cs="Aptos" w:eastAsia="Aptos" w:hAnsi="Aptos"/>
          <w:b/>
          <w:bCs/>
          <w:color w:val="111111"/>
          <w:sz w:val="26"/>
          <w:szCs w:val="26"/>
        </w:rPr>
        <w:t xml:space="preserve">BAC Water</w:t>
      </w:r>
    </w:p>
    <w:tbl>
      <w:tblPr>
        <w:tblW w:type="dxa" w:w="9360"/>
        <w:tblBorders>
          <w:top w:val="none" w:color="FFFFFF" w:sz="0"/>
          <w:left w:val="none" w:color="FFFFFF" w:sz="0"/>
          <w:bottom w:val="none" w:color="FFFFFF" w:sz="0"/>
          <w:right w:val="none" w:color="FFFFFF" w:sz="0"/>
          <w:insideH w:val="single" w:color="DCDFE4" w:sz="2"/>
          <w:insideV w:val="single" w:color="auto" w:sz="4"/>
        </w:tblBorders>
      </w:tblPr>
      <w:tblGrid>
        <w:gridCol w:w="2600"/>
        <w:gridCol w:w="6760"/>
      </w:tblGrid>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CLASE</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Vehículo / Solución</w:t>
            </w:r>
          </w:p>
        </w:tc>
      </w:tr>
      <w:tr>
        <w:trPr>
          <w:cantSplit/>
        </w:trPr>
        <w:tc>
          <w:tcPr>
            <w:tcW w:type="dxa" w:w="2600"/>
            <w:tcMar>
              <w:top w:type="dxa" w:w="90"/>
              <w:bottom w:type="dxa" w:w="90"/>
              <w:right w:type="dxa" w:w="160"/>
            </w:tcMar>
            <w:vAlign w:val="top"/>
          </w:tcPr>
          <w:p>
            <w:pPr>
              <w:keepNext w:val="false"/>
              <w:spacing w:after="0" w:before="0" w:line="276"/>
              <w:jc w:val="left"/>
            </w:pPr>
            <w:r>
              <w:rPr>
                <w:rFonts w:ascii="Aptos" w:cs="Aptos" w:eastAsia="Aptos" w:hAnsi="Aptos"/>
                <w:b w:val="false"/>
                <w:bCs w:val="false"/>
                <w:i w:val="false"/>
                <w:iCs w:val="false"/>
                <w:color w:val="6B7078"/>
                <w:spacing w:val="50"/>
                <w:sz w:val="14"/>
                <w:szCs w:val="14"/>
              </w:rPr>
              <w:t xml:space="preserve">MECANISMO</w:t>
            </w:r>
          </w:p>
        </w:tc>
        <w:tc>
          <w:tcPr>
            <w:tcW w:type="dxa" w:w="6760"/>
            <w:tcMar>
              <w:top w:type="dxa" w:w="90"/>
              <w:bottom w:type="dxa" w:w="90"/>
            </w:tcMar>
          </w:tcPr>
          <w:p>
            <w:pPr>
              <w:keepNext w:val="false"/>
              <w:spacing w:after="0" w:before="0" w:line="276"/>
              <w:jc w:val="left"/>
            </w:pPr>
            <w:r>
              <w:rPr>
                <w:rFonts w:ascii="Aptos" w:cs="Aptos" w:eastAsia="Aptos" w:hAnsi="Aptos"/>
                <w:b w:val="false"/>
                <w:bCs w:val="false"/>
                <w:i w:val="false"/>
                <w:iCs w:val="false"/>
                <w:color w:val="111111"/>
                <w:sz w:val="19"/>
                <w:szCs w:val="19"/>
              </w:rPr>
              <w:t xml:space="preserve">Agua bacteriostática (alcohol bencílico al 0.9%) para reconstitución.</w:t>
            </w:r>
          </w:p>
        </w:tc>
      </w:tr>
    </w:tbl>
    <w:p>
      <w:r>
        <w:br w:type="page"/>
      </w:r>
    </w:p>
    <w:p>
      <w:pPr>
        <w:pStyle w:val="Heading1"/>
        <w:spacing w:after="240"/>
      </w:pPr>
      <w:r>
        <w:rPr>
          <w:rFonts w:ascii="Aptos" w:cs="Aptos" w:eastAsia="Aptos" w:hAnsi="Aptos"/>
          <w:b/>
          <w:bCs/>
          <w:color w:val="111111"/>
          <w:sz w:val="32"/>
          <w:szCs w:val="32"/>
        </w:rPr>
        <w:t xml:space="preserve">Aviso</w:t>
      </w:r>
    </w:p>
    <w:p>
      <w:pPr>
        <w:keepNext w:val="false"/>
        <w:spacing w:after="140" w:before="0" w:line="300"/>
        <w:jc w:val="left"/>
      </w:pPr>
      <w:r>
        <w:rPr>
          <w:rFonts w:ascii="Aptos" w:cs="Aptos" w:eastAsia="Aptos" w:hAnsi="Aptos"/>
          <w:b w:val="false"/>
          <w:bCs w:val="false"/>
          <w:i w:val="false"/>
          <w:iCs w:val="false"/>
          <w:color w:val="2A2E35"/>
          <w:sz w:val="18"/>
          <w:szCs w:val="18"/>
        </w:rPr>
        <w:t xml:space="preserve">Todo el material descrito en este catálogo es de uso exclusivo en investigación. No está destinado a consumo humano ni animal, ni a uso diagnóstico, preventivo o terapéutico, y no ha sido evaluado por ninguna agencia sanitaria para esos fines.</w:t>
      </w:r>
    </w:p>
    <w:p>
      <w:pPr>
        <w:keepNext w:val="false"/>
        <w:spacing w:after="140" w:before="0" w:line="300"/>
        <w:jc w:val="left"/>
      </w:pPr>
      <w:r>
        <w:rPr>
          <w:rFonts w:ascii="Aptos" w:cs="Aptos" w:eastAsia="Aptos" w:hAnsi="Aptos"/>
          <w:b w:val="false"/>
          <w:bCs w:val="false"/>
          <w:i w:val="false"/>
          <w:iCs w:val="false"/>
          <w:color w:val="2A2E35"/>
          <w:sz w:val="18"/>
          <w:szCs w:val="18"/>
        </w:rPr>
        <w:t xml:space="preserve">Este documento no contiene dosis, pautas ni vías de administración, y su ausencia es deliberada. PEPTIDEX no recomienda protocolos de uso.</w:t>
      </w:r>
    </w:p>
    <w:p>
      <w:pPr>
        <w:keepNext w:val="false"/>
        <w:spacing w:after="140" w:before="0" w:line="300"/>
        <w:jc w:val="left"/>
      </w:pPr>
      <w:r>
        <w:rPr>
          <w:rFonts w:ascii="Aptos" w:cs="Aptos" w:eastAsia="Aptos" w:hAnsi="Aptos"/>
          <w:b w:val="false"/>
          <w:bCs w:val="false"/>
          <w:i w:val="false"/>
          <w:iCs w:val="false"/>
          <w:color w:val="2A2E35"/>
          <w:sz w:val="18"/>
          <w:szCs w:val="18"/>
        </w:rPr>
        <w:t xml:space="preserve">Las descripciones de mecanismo resumen la diana molecular descrita en la literatura. No son afirmaciones de eficacia ni de seguridad.</w:t>
      </w:r>
    </w:p>
    <w:p>
      <w:pPr>
        <w:keepNext w:val="false"/>
        <w:spacing w:after="140" w:before="0" w:line="300"/>
        <w:jc w:val="left"/>
      </w:pPr>
      <w:r>
        <w:rPr>
          <w:rFonts w:ascii="Aptos" w:cs="Aptos" w:eastAsia="Aptos" w:hAnsi="Aptos"/>
          <w:b w:val="false"/>
          <w:bCs w:val="false"/>
          <w:i w:val="false"/>
          <w:iCs w:val="false"/>
          <w:color w:val="2A2E35"/>
          <w:sz w:val="18"/>
          <w:szCs w:val="18"/>
        </w:rPr>
        <w:t xml:space="preserve">Las especificaciones de cada lote son las del certificado de análisis que lo acompaña. Ante cualquier diferencia, manda el certificado del lote.</w:t>
      </w:r>
    </w:p>
    <w:p>
      <w:pPr>
        <w:keepNext w:val="false"/>
        <w:spacing w:after="140" w:before="0" w:line="300"/>
        <w:jc w:val="left"/>
      </w:pPr>
      <w:r>
        <w:rPr>
          <w:rFonts w:ascii="Aptos" w:cs="Aptos" w:eastAsia="Aptos" w:hAnsi="Aptos"/>
          <w:b w:val="false"/>
          <w:bCs w:val="false"/>
          <w:i w:val="false"/>
          <w:iCs w:val="false"/>
          <w:color w:val="2A2E35"/>
          <w:sz w:val="18"/>
          <w:szCs w:val="18"/>
        </w:rPr>
        <w:t xml:space="preserve">La disponibilidad, las presentaciones y las referencias pueden cambiar sin previo aviso. Confirma siempre contra el pedido.</w:t>
      </w:r>
    </w:p>
    <w:p>
      <w:pPr>
        <w:keepNext w:val="false"/>
        <w:spacing w:after="120" w:before="500" w:line="276"/>
        <w:jc w:val="center"/>
      </w:pPr>
      <w:r>
        <w:rPr>
          <w:rFonts w:ascii="Aptos" w:cs="Aptos" w:eastAsia="Aptos" w:hAnsi="Aptos"/>
          <w:b w:val="false"/>
          <w:bCs w:val="false"/>
          <w:i w:val="false"/>
          <w:iCs w:val="false"/>
          <w:color w:val="6B7078"/>
          <w:spacing w:val="60"/>
          <w:sz w:val="17"/>
          <w:szCs w:val="17"/>
        </w:rPr>
        <w:t xml:space="preserve">PEPTIDEX  ·  official.peptidex@outlook.com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078"/>
        <w:sz w:val="13"/>
        <w:szCs w:val="13"/>
      </w:rPr>
      <w:t xml:space="preserve">Uso exclusivo en investigación  ·  </w:t>
    </w:r>
    <w:r>
      <w:rPr>
        <w:rFonts w:ascii="Aptos" w:cs="Aptos" w:eastAsia="Aptos" w:hAnsi="Aptos"/>
        <w:color w:val="6B7078"/>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FE4" w:sz="2" w:space="6"/>
      </w:pBdr>
      <w:spacing w:after="60"/>
      <w:jc w:val="center"/>
    </w:pPr>
    <w:r>
      <w:rPr>
        <w:rFonts w:ascii="Aptos" w:cs="Aptos" w:eastAsia="Aptos" w:hAnsi="Aptos"/>
        <w:color w:val="6B7078"/>
        <w:spacing w:val="70"/>
        <w:sz w:val="14"/>
        <w:szCs w:val="14"/>
      </w:rPr>
      <w:t xml:space="preserve">PEPTIDEX  ·  CATÁLOGO DE COMPUESTOS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11111"/>
      <w:sz w:val="32"/>
      <w:szCs w:val="32"/>
    </w:rPr>
  </w:style>
  <w:style w:type="paragraph" w:styleId="Heading2">
    <w:name w:val="Heading 2"/>
    <w:basedOn w:val="Normal"/>
    <w:next w:val="Normal"/>
    <w:qFormat/>
    <w:pPr>
      <w:spacing w:after="60" w:before="200"/>
      <w:outlineLvl w:val="1"/>
    </w:pPr>
    <w:rPr>
      <w:rFonts w:ascii="Aptos" w:cs="Aptos" w:eastAsia="Aptos" w:hAnsi="Aptos"/>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14f06cb85983ee7761fcb2805461dc2e87924b.png"/><Relationship Id="rId10" Type="http://schemas.openxmlformats.org/officeDocument/2006/relationships/image" Target="media/fb432bfa0d695fe6cc6dd38d55e8bc94e422eb8b.png"/><Relationship Id="rId11" Type="http://schemas.openxmlformats.org/officeDocument/2006/relationships/image" Target="media/961d99c5bd71f641fb08acdfce30517dee847862.png"/><Relationship Id="rId12" Type="http://schemas.openxmlformats.org/officeDocument/2006/relationships/image" Target="media/5f87cf1bb3989c3505018d8f77dbf7c26ec746d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PEPTIDEX — Catálogo de compuestos</dc:title>
  <dc:creator>PEPTIDEX</dc:creator>
  <dc:description>Catálogo de compuestos de investigación. Uso exclusivo en investigación.</dc:description>
  <cp:lastModifiedBy>Un-named</cp:lastModifiedBy>
  <cp:revision>1</cp:revision>
  <dcterms:created xsi:type="dcterms:W3CDTF">2026-08-19T17:28:21.534Z</dcterms:created>
  <dcterms:modified xsi:type="dcterms:W3CDTF">2026-08-19T17:28:21.534Z</dcterms:modified>
</cp:coreProperties>
</file>

<file path=docProps/custom.xml><?xml version="1.0" encoding="utf-8"?>
<Properties xmlns="http://schemas.openxmlformats.org/officeDocument/2006/custom-properties" xmlns:vt="http://schemas.openxmlformats.org/officeDocument/2006/docPropsVTypes"/>
</file>