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240"/>
      </w:pPr>
    </w:p>
    <w:p>
      <w:pPr>
        <w:widowControl/>
        <w:spacing w:after="240"/>
      </w:pPr>
    </w:p>
    <w:p>
      <w:pPr>
        <w:widowControl/>
        <w:spacing w:after="240"/>
      </w:pPr>
    </w:p>
    <w:p>
      <w:pPr>
        <w:widowControl/>
        <w:spacing w:after="240"/>
      </w:pPr>
    </w:p>
    <w:p>
      <w:pPr>
        <w:widowControl/>
        <w:spacing w:after="240"/>
      </w:pPr>
    </w:p>
    <w:p>
      <w:pPr>
        <w:widowControl/>
        <w:spacing w:after="360"/>
        <w:jc w:val="center"/>
      </w:pPr>
      <w:r>
        <w:rPr>
          <w:rFonts w:ascii="Arial Unicode MS" w:hAnsi="Arial Unicode MS" w:eastAsia="Arial Unicode MS"/>
          <w:b/>
          <w:color w:val="2E74B5"/>
          <w:sz w:val="22"/>
        </w:rPr>
        <w:t>课程整理样稿</w:t>
      </w:r>
    </w:p>
    <w:p>
      <w:pPr>
        <w:widowControl/>
        <w:spacing w:after="200"/>
        <w:jc w:val="center"/>
      </w:pPr>
      <w:r>
        <w:rPr>
          <w:rFonts w:ascii="Arial Unicode MS" w:hAnsi="Arial Unicode MS" w:eastAsia="Arial Unicode MS"/>
          <w:b/>
          <w:color w:val="203748"/>
          <w:sz w:val="52"/>
        </w:rPr>
        <w:t>大盘分析</w:t>
      </w:r>
    </w:p>
    <w:p>
      <w:pPr>
        <w:widowControl/>
        <w:spacing w:after="600"/>
        <w:jc w:val="center"/>
      </w:pPr>
      <w:r>
        <w:rPr>
          <w:rFonts w:ascii="Arial Unicode MS" w:hAnsi="Arial Unicode MS" w:eastAsia="Arial Unicode MS"/>
          <w:color w:val="1F4D78"/>
          <w:sz w:val="26"/>
        </w:rPr>
        <w:t>忠实整理与完整图文对齐</w:t>
      </w:r>
    </w:p>
    <w:p>
      <w:pPr>
        <w:widowControl/>
        <w:spacing w:before="1800" w:after="80"/>
        <w:jc w:val="center"/>
      </w:pPr>
      <w:r>
        <w:rPr>
          <w:rFonts w:ascii="Arial Unicode MS" w:hAnsi="Arial Unicode MS" w:eastAsia="Arial Unicode MS"/>
          <w:color w:val="606C78"/>
          <w:sz w:val="20"/>
        </w:rPr>
        <w:t>录音上·中·下｜课件10张｜课程日期 2010-01-27</w:t>
      </w:r>
      <w:r>
        <w:br w:type="page"/>
      </w:r>
    </w:p>
    <w:p>
      <w:pPr>
        <w:pStyle w:val="SourceNote"/>
        <w:widowControl/>
        <w:shd w:fill="F4F6F9"/>
      </w:pPr>
      <w:r>
        <w:rPr>
          <w:rFonts w:ascii="Arial Unicode MS" w:hAnsi="Arial Unicode MS" w:eastAsia="Arial Unicode MS"/>
          <w:b w:val="0"/>
        </w:rPr>
        <w:t>本文档单独整理2010年1月27日课程中的大盘分析部分。每张课件均附录音位置、老师讲解、图形要点和课程知识定位；历史市场判断不构成当前投资建议。</w:t>
      </w:r>
    </w:p>
    <w:p>
      <w:pPr>
        <w:pStyle w:val="Heading2"/>
        <w:widowControl/>
      </w:pPr>
      <w:r>
        <w:t>整体讲课要点</w:t>
      </w:r>
    </w:p>
    <w:p>
      <w:pPr>
        <w:pStyle w:val="ListNumber"/>
        <w:widowControl/>
      </w:pPr>
      <w:r>
        <w:rPr>
          <w:rFonts w:ascii="Arial Unicode MS" w:hAnsi="Arial Unicode MS" w:eastAsia="Arial Unicode MS"/>
          <w:b w:val="0"/>
        </w:rPr>
        <w:t>海外指数验证：综合运用空间、速度和结构。</w:t>
      </w:r>
    </w:p>
    <w:p>
      <w:pPr>
        <w:pStyle w:val="ListNumber"/>
        <w:widowControl/>
      </w:pPr>
      <w:r>
        <w:rPr>
          <w:rFonts w:ascii="Arial Unicode MS" w:hAnsi="Arial Unicode MS" w:eastAsia="Arial Unicode MS"/>
          <w:b w:val="0"/>
        </w:rPr>
        <w:t>A股趋势破位：把趋势线规则应用到当时上证指数的周线与日线。</w:t>
      </w:r>
    </w:p>
    <w:p>
      <w:pPr>
        <w:pStyle w:val="ListNumber"/>
        <w:widowControl/>
      </w:pPr>
      <w:r>
        <w:rPr>
          <w:rFonts w:ascii="Arial Unicode MS" w:hAnsi="Arial Unicode MS" w:eastAsia="Arial Unicode MS"/>
          <w:b w:val="0"/>
        </w:rPr>
        <w:t>市场资金：分析基金高仓位、赎回和被动卖出的反馈。</w:t>
      </w:r>
    </w:p>
    <w:p>
      <w:pPr>
        <w:pStyle w:val="ListNumber"/>
        <w:widowControl/>
      </w:pPr>
      <w:r>
        <w:rPr>
          <w:rFonts w:ascii="Arial Unicode MS" w:hAnsi="Arial Unicode MS" w:eastAsia="Arial Unicode MS"/>
          <w:b w:val="0"/>
        </w:rPr>
        <w:t>市场风格：比较中小板与上证指数的相对位置。</w:t>
      </w:r>
    </w:p>
    <w:p>
      <w:pPr>
        <w:pStyle w:val="ListNumber"/>
        <w:widowControl/>
      </w:pPr>
      <w:r>
        <w:rPr>
          <w:rFonts w:ascii="Arial Unicode MS" w:hAnsi="Arial Unicode MS" w:eastAsia="Arial Unicode MS"/>
          <w:b w:val="0"/>
        </w:rPr>
        <w:t>年报行情：还原当时低市盈率及高送转筛选思路。</w:t>
      </w:r>
    </w:p>
    <w:p>
      <w:pPr>
        <w:pStyle w:val="Heading2"/>
        <w:widowControl/>
      </w:pPr>
      <w:r>
        <w:t>逐图讲解</w:t>
      </w:r>
    </w:p>
    <w:p>
      <w:pPr>
        <w:pStyle w:val="Heading1"/>
        <w:widowControl/>
      </w:pPr>
      <w:r>
        <w:t>大盘分析</w:t>
      </w:r>
    </w:p>
    <w:p>
      <w:pPr>
        <w:pStyle w:val="Heading2"/>
        <w:pageBreakBefore/>
        <w:widowControl/>
      </w:pPr>
      <w:r>
        <w:t>图01｜大盘分析（0127）—1.jpg｜道琼斯指数：空间、速度与结构综合判断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中 00:36:03–00:37:31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30640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64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图｜大盘分析（0127） 1.jpg：道琼斯指数：空间、速度与结构综合判断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老师回顾此前对道指的判断：用“123求4”得到约11080点空间目标；第二段上涨耗时更长、速度更慢，并在目标附近形成顶部结构，因此把该段视为“最后一升”。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黑线标出1、2、3三个位置和右侧目标区，叠加均线与成交量。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大盘分析 → 第一部分“海外指数验证” → 空间、速度与结构的综合应用 → 当前知识点“道琼斯指数：空间、速度与结构综合判断”。这组图用道琼斯指数验证主课方法，展示空间目标、浪型速度和顶部结构如何共同形成判断。</w:t>
      </w:r>
    </w:p>
    <w:p>
      <w:pPr>
        <w:pStyle w:val="Heading2"/>
        <w:pageBreakBefore/>
        <w:widowControl/>
      </w:pPr>
      <w:r>
        <w:t>图02｜大盘分析（0127）—2.jpg｜道指短周期：缓涨后的快速下跌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中→下 中00:37:31–结束；下00:00:00–00:00:42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30789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78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图｜大盘分析（0127） 2.jpg：道指短周期：缓涨后的快速下跌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老师指出，顶部前连续多日缓慢上涨带来的利润，可能被随后三根快速阴线迅速吞没。图中三浪上涨的第三浪也明显慢于第一浪，因此不期待第五浪，应在第三浪末端防守。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周K线右侧先缓升后连续大阴线下跌，体现速度反转。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大盘分析 → 第一部分“海外指数验证” → 空间、速度与结构的综合应用 → 当前知识点“道指短周期：缓涨后的快速下跌”。这组图用道琼斯指数验证主课方法，展示空间目标、浪型速度和顶部结构如何共同形成判断。</w:t>
      </w:r>
    </w:p>
    <w:p>
      <w:pPr>
        <w:pStyle w:val="Heading2"/>
        <w:pageBreakBefore/>
        <w:widowControl/>
      </w:pPr>
      <w:r>
        <w:t>图03｜大盘分析（0127）—3.jpg｜上证周线：六个触点趋势线已经破位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下 00:00:42–00:02:19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2945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4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图｜大盘分析（0127） 3.jpg：上证周线：六个触点趋势线已经破位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老师指出，只有图中画法能连接约六个重要触点，符合“触点越多越有效”。最新高点距趋势线较近，破位所需能量较少，因此周线破位时应快速反应。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上证周线自998点以来的上升趋势线连接多个圆圈低点。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大盘分析 → 第二部分“A股趋势破位” → 周线与日线的执行 → 当前知识点“上证周线：六个触点趋势线已经破位”。这组图把趋势线取点和远近规则用于2010年1月的上证指数，说明破位预案与实际执行。</w:t>
      </w:r>
    </w:p>
    <w:p>
      <w:pPr>
        <w:pStyle w:val="Heading2"/>
        <w:pageBreakBefore/>
        <w:widowControl/>
      </w:pPr>
      <w:r>
        <w:t>图04｜大盘分析（0127）—4.jpg｜周线破位的实际发生位置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下 00:02:19–00:03:09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2945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4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图｜大盘分析（0127） 4.jpg：周线破位的实际发生位置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老师说明，红圈中的第二根阴线在盘中完成真正破位。即使尾盘可能拉回，也不能把执行建立在侥幸上；周线级别破位应按预案处理。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在上一张周线基础上增加红色圆圈，突出实际破位K线。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大盘分析 → 第二部分“A股趋势破位” → 周线与日线的执行 → 当前知识点“周线破位的实际发生位置”。这组图把趋势线取点和远近规则用于2010年1月的上证指数，说明破位预案与实际执行。</w:t>
      </w:r>
    </w:p>
    <w:p>
      <w:pPr>
        <w:pStyle w:val="Heading2"/>
        <w:pageBreakBefore/>
        <w:widowControl/>
      </w:pPr>
      <w:r>
        <w:t>图05｜大盘分析（0127）—5.jpg｜日线三角形向下突破与机会成本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下 00:03:09–00:05:51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2937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37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图｜大盘分析（0127） 5.jpg：日线三角形向下突破与机会成本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老师从日线补充：多个高点和低点形成三角形，最终选择向下突破。即使未来向上重新突破、需在更高位置买回，放弃约90点机会成本换取趋势确认，也优于承担更大下跌风险。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上下两条收敛线构成三角形，右侧K线向下跌破并持续走弱。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大盘分析 → 第二部分“A股趋势破位” → 周线与日线的执行 → 当前知识点“日线三角形向下突破与机会成本”。这组图把趋势线取点和远近规则用于2010年1月的上证指数，说明破位预案与实际执行。</w:t>
      </w:r>
    </w:p>
    <w:p>
      <w:pPr>
        <w:pStyle w:val="Heading2"/>
        <w:pageBreakBefore/>
        <w:widowControl/>
      </w:pPr>
      <w:r>
        <w:t>图06｜大盘分析（0127）—6.jpg｜基金高仓位、赎回与被动卖出反馈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下 00:05:51–00:15:50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34784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78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图｜大盘分析（0127） 6.jpg：基金高仓位、赎回与被动卖出反馈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结合两篇当时报道讨论基金仓位：王亚伟管理基金接近仓位上限，其他基金也处在高位。市场下跌引发赎回时，基金为准备现金可能被迫卖股，形成“下跌—赎回—卖出—再下跌”的反馈。该部分属于2010年课堂观点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上半部分是王亚伟旗下基金接近满仓的报道，下半部分讨论基金“跑路”与市场分化。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大盘分析 → 第三部分“市场资金” → 基金仓位、赎回与被动卖出 → 当前知识点“基金高仓位、赎回与被动卖出反馈”。该图从资金供求解释下跌可能如何自我强化，是技术图形之外的市场流动性补充。</w:t>
      </w:r>
    </w:p>
    <w:p>
      <w:pPr>
        <w:pStyle w:val="Heading2"/>
        <w:pageBreakBefore/>
        <w:widowControl/>
      </w:pPr>
      <w:r>
        <w:t>图07｜大盘分析（0127）—7.jpg｜中小板接近前高后的风险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下 00:15:50–00:18:15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2945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4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图｜大盘分析（0127） 7.jpg：中小板接近前高后的风险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老师指出，中小板综合指数已从1959点反弹至接近6315点前高，右下角日线却出现快速下跌。他据此认为，经历2009年大幅上涨后，小盘股短期风险较高。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主图为中小板周线完整牛熊周期，红框嵌入近期日线快速下跌。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大盘分析 → 第四部分“市场风格” → 中小盘与大盘蓝筹的相对位置 → 当前知识点“中小板接近前高后的风险”。这组图通过指数相对涨幅讨论大小盘风格轮动，把技术位置与资金偏好结合起来。</w:t>
      </w:r>
    </w:p>
    <w:p>
      <w:pPr>
        <w:pStyle w:val="Heading2"/>
        <w:pageBreakBefore/>
        <w:widowControl/>
      </w:pPr>
      <w:r>
        <w:t>图08｜大盘分析（0127）—8.jpg｜上证指数与中小板的相对位置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下 00:18:15–00:20:22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77840" cy="29302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3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图｜大盘分析（0127） 8.jpg：上证指数与中小板的相对位置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老师把上证指数与中小板对比：上证从6124点跌至1664点后，反弹至3478点仍未恢复前期跌幅的一半，明显落后于接近前高的中小板。他据此讨论资金可能由题材、小盘向大盘蓝筹轮动。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上证周线展示6124—1664—3478的大周期位置，与上一张中小板形成对照。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大盘分析 → 第四部分“市场风格” → 中小盘与大盘蓝筹的相对位置 → 当前知识点“上证指数与中小板的相对位置”。这组图通过指数相对涨幅讨论大小盘风格轮动，把技术位置与资金偏好结合起来。</w:t>
      </w:r>
    </w:p>
    <w:p>
      <w:pPr>
        <w:pStyle w:val="Heading2"/>
        <w:pageBreakBefore/>
        <w:widowControl/>
      </w:pPr>
      <w:r>
        <w:t>图09｜大盘分析（0127）—9.jpg｜沪市低市盈率排序与行业筛选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下 00:20:22–00:25:52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2427576" cy="40690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27576" cy="4069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图｜大盘分析（0127） 9.jpg：沪市低市盈率排序与行业筛选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老师在年报行情背景下，用市盈率、每股收益、每股资本公积等指标寻找可能的高送转线索，并观察银行、医药、高速等行业集中情况。他明确这是当时的筛选思路，不等于确定送转，也不构成现时推荐。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沪市股票按市盈率排序，红框标出皖通高速、福建高速等高速公路公司。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大盘分析 → 第五部分“年报行情” → 低市盈率与高送转历史筛选 → 当前知识点“沪市低市盈率排序与行业筛选”。这组图还原2010年课堂中的选股筛选思路，属于历史案例，不应直接迁移为当前投资建议。</w:t>
      </w:r>
    </w:p>
    <w:p>
      <w:pPr>
        <w:pStyle w:val="Heading2"/>
        <w:pageBreakBefore/>
        <w:widowControl/>
      </w:pPr>
      <w:r>
        <w:t>图10｜大盘分析（0127）—10.jpg｜深市低市盈率排序与历史候选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对应录音：</w:t>
      </w:r>
      <w:r>
        <w:rPr>
          <w:rFonts w:ascii="Arial Unicode MS" w:hAnsi="Arial Unicode MS" w:eastAsia="Arial Unicode MS"/>
          <w:b w:val="0"/>
        </w:rPr>
        <w:t xml:space="preserve"> 下 00:25:52–00:29:49  </w:t>
      </w:r>
    </w:p>
    <w:p>
      <w:pPr>
        <w:widowControl/>
      </w:pPr>
      <w:r>
        <w:rPr>
          <w:rFonts w:ascii="Arial Unicode MS" w:hAnsi="Arial Unicode MS" w:eastAsia="Arial Unicode MS"/>
          <w:b/>
        </w:rPr>
        <w:t>对应置信度：</w:t>
      </w:r>
      <w:r>
        <w:rPr>
          <w:rFonts w:ascii="Arial Unicode MS" w:hAnsi="Arial Unicode MS" w:eastAsia="Arial Unicode MS"/>
          <w:b w:val="0"/>
        </w:rPr>
        <w:t xml:space="preserve"> 明确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566819" cy="40690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66819" cy="4069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after="160"/>
        <w:jc w:val="center"/>
      </w:pPr>
      <w:r>
        <w:rPr>
          <w:rFonts w:ascii="Arial Unicode MS" w:hAnsi="Arial Unicode MS" w:eastAsia="Arial Unicode MS"/>
          <w:i/>
          <w:color w:val="606C78"/>
          <w:sz w:val="18"/>
        </w:rPr>
        <w:t>图｜大盘分析（0127） 10.jpg：深市低市盈率排序与历史候选</w:t>
      </w:r>
    </w:p>
    <w:p>
      <w:pPr>
        <w:widowControl/>
      </w:pPr>
      <w:r>
        <w:rPr>
          <w:rFonts w:ascii="Arial Unicode MS" w:hAnsi="Arial Unicode MS" w:eastAsia="Arial Unicode MS"/>
          <w:b/>
        </w:rPr>
        <w:t>老师讲解整理：</w:t>
      </w:r>
      <w:r>
        <w:rPr>
          <w:rFonts w:ascii="Arial Unicode MS" w:hAnsi="Arial Unicode MS" w:eastAsia="Arial Unicode MS"/>
          <w:b w:val="0"/>
        </w:rPr>
        <w:t xml:space="preserve"> 老师继续查看深市低市盈率名单，点出现代投资、粤高速、华北高速等，并结合未分配利润和资本公积讨论高送转可能性；同时强调当时整体策略仍偏向大盘蓝筹。名单仅用于还原2010年课堂语境。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图形要点：</w:t>
      </w:r>
      <w:r>
        <w:rPr>
          <w:rFonts w:ascii="Arial Unicode MS" w:hAnsi="Arial Unicode MS" w:eastAsia="Arial Unicode MS"/>
          <w:b w:val="0"/>
        </w:rPr>
        <w:t xml:space="preserve"> 深市列表按市盈率排列，红框标出若干当时被关注的低估值或高速公路股票。</w:t>
      </w:r>
    </w:p>
    <w:p>
      <w:pPr>
        <w:widowControl/>
      </w:pPr>
      <w:r>
        <w:rPr>
          <w:rFonts w:ascii="Arial Unicode MS" w:hAnsi="Arial Unicode MS" w:eastAsia="Arial Unicode MS"/>
          <w:b/>
        </w:rPr>
        <w:t>课程知识定位：</w:t>
      </w:r>
      <w:r>
        <w:rPr>
          <w:rFonts w:ascii="Arial Unicode MS" w:hAnsi="Arial Unicode MS" w:eastAsia="Arial Unicode MS"/>
          <w:b w:val="0"/>
        </w:rPr>
        <w:t xml:space="preserve"> 大盘分析 → 第五部分“年报行情” → 低市盈率与高送转历史筛选 → 当前知识点“深市低市盈率排序与历史候选”。这组图还原2010年课堂中的选股筛选思路，属于历史案例，不应直接迁移为当前投资建议。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606C78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color w:val="606C78"/>
        <w:sz w:val="17"/>
      </w:rPr>
      <w:t>徐小明课程整理｜2010年1月27日样稿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after="120" w:line="288" w:lineRule="auto"/>
      <w:ind w:left="259" w:right="259"/>
    </w:pPr>
    <w:rPr>
      <w:rFonts w:ascii="Arial Unicode MS" w:hAnsi="Arial Unicode MS" w:eastAsia="Arial Unicode MS"/>
      <w:color w:val="606C78"/>
      <w:sz w:val="19"/>
    </w:rPr>
  </w:style>
  <w:style w:type="paragraph" w:customStyle="1" w:styleId="CodeBlock">
    <w:name w:val="Code Block"/>
    <w:pPr>
      <w:spacing w:after="0" w:line="252" w:lineRule="auto"/>
      <w:ind w:left="259" w:right="259"/>
    </w:pPr>
    <w:rPr>
      <w:rFonts w:ascii="Menlo" w:hAnsi="Menlo" w:eastAsia="Arial Unicode M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大盘分析</dc:title>
  <dc:subject>忠实整理与完整图文对齐</dc:subject>
  <dc:creator>课程整理样稿</dc:creator>
  <cp:keywords>徐小明, 结构, 趋势, 2010年1月27日, 课程整理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