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nualKicker"/>
        <w:spacing w:before="1640"/>
      </w:pPr>
      <w:r>
        <w:t>RIFF  ·  实机闭环指南</w:t>
      </w:r>
    </w:p>
    <w:p>
      <w:pPr>
        <w:pStyle w:val="ManualCoverTitle"/>
      </w:pPr>
      <w:r>
        <w:rPr>
          <w:rFonts w:ascii="STSong" w:hAnsi="STSong" w:eastAsia="STSong" w:cs="STSong" w:hint="eastAsia"/>
          <w:b/>
          <w:color w:val="163A3A"/>
          <w:sz w:val="58"/>
          <w:lang w:val="zh-CN" w:eastAsia="zh-CN"/>
        </w:rPr>
        <w:t>Riff：从空白 Project 到大样本仿真结论</w:t>
      </w:r>
    </w:p>
    <w:p>
      <w:pPr>
        <w:pStyle w:val="ManualCoverSubtitle"/>
      </w:pPr>
      <w:r>
        <w:rPr>
          <w:rFonts w:ascii="STSong" w:hAnsi="STSong" w:eastAsia="STSong" w:cs="STSong" w:hint="eastAsia"/>
          <w:color w:val="0F766E"/>
          <w:sz w:val="28"/>
          <w:lang w:val="zh-CN" w:eastAsia="zh-CN"/>
        </w:rPr>
        <w:t>从自然语言建模需求，到可视化运行、200 样本实验与持久结论</w:t>
      </w:r>
    </w:p>
    <w:p>
      <w:pPr>
        <w:spacing w:before="0" w:after="520"/>
        <w:ind w:left="1584" w:right="1584"/>
        <w:pBdr>
          <w:top w:val="single" w:sz="8" w:space="1" w:color="B8D9D4"/>
        </w:pBdr>
      </w:pPr>
    </w:p>
    <w:p>
      <w:pPr>
        <w:pStyle w:val="ManualCoverMeta"/>
      </w:pPr>
      <w:r>
        <w:rPr>
          <w:rFonts w:ascii="STSong" w:hAnsi="STSong" w:eastAsia="STSong" w:cs="STSong" w:hint="eastAsia"/>
          <w:color w:val="5B6870"/>
          <w:sz w:val="21"/>
          <w:lang w:val="zh-CN" w:eastAsia="zh-CN"/>
        </w:rPr>
        <w:t>使用说明书与实机验收记录</w:t>
      </w:r>
    </w:p>
    <w:p>
      <w:pPr>
        <w:pStyle w:val="ManualCoverMeta"/>
      </w:pPr>
      <w:r>
        <w:rPr>
          <w:rFonts w:ascii="STSong" w:hAnsi="STSong" w:eastAsia="STSong" w:cs="STSong" w:hint="eastAsia"/>
          <w:color w:val="5B6870"/>
          <w:sz w:val="21"/>
          <w:lang w:val="zh-CN" w:eastAsia="zh-CN"/>
        </w:rPr>
        <w:t>验收日期：2026-08-13</w:t>
      </w:r>
    </w:p>
    <w:p>
      <w:pPr>
        <w:pStyle w:val="ManualCoverMeta"/>
      </w:pPr>
      <w:r>
        <w:rPr>
          <w:rFonts w:ascii="STSong" w:hAnsi="STSong" w:eastAsia="STSong" w:cs="STSong" w:hint="eastAsia"/>
          <w:color w:val="5B6870"/>
          <w:sz w:val="21"/>
          <w:lang w:val="zh-CN" w:eastAsia="zh-CN"/>
        </w:rPr>
        <w:t>验收案例：风机维护大样本仿真</w:t>
      </w:r>
    </w:p>
    <w:p>
      <w:pPr>
        <w:pStyle w:val="ManualCoverMeta"/>
      </w:pPr>
      <w:r>
        <w:rPr>
          <w:rFonts w:ascii="STSong" w:hAnsi="STSong" w:eastAsia="STSong" w:cs="STSong" w:hint="eastAsia"/>
          <w:color w:val="5B6870"/>
          <w:sz w:val="21"/>
          <w:lang w:val="zh-CN" w:eastAsia="zh-CN"/>
        </w:rPr>
        <w:t>Riff Project：</w:t>
      </w:r>
      <w:r>
        <w:rPr>
          <w:rFonts w:ascii="STSong" w:hAnsi="STSong" w:eastAsia="STSong" w:cs="STSong" w:hint="eastAsia"/>
          <w:color w:val="115E59"/>
          <w:sz w:val="21"/>
          <w:lang w:val="zh-CN" w:eastAsia="zh-CN"/>
          <w:shd w:fill="E6F4F1"/>
        </w:rPr>
        <w:t>project_e838d073cab952364f4f3c98e12ee49e</w:t>
      </w:r>
    </w:p>
    <w:p>
      <w:pPr>
        <w:pStyle w:val="ManualCoverMeta"/>
        <w:spacing w:before="880" w:after="0"/>
      </w:pPr>
      <w:r>
        <w:rPr>
          <w:rFonts w:ascii="STSong" w:hAnsi="STSong" w:eastAsia="STSong" w:cs="STSong" w:hint="eastAsia"/>
          <w:b/>
          <w:color w:val="0F766E"/>
          <w:sz w:val="19"/>
          <w:lang w:val="zh-CN" w:eastAsia="zh-CN"/>
        </w:rPr>
        <w:t>空白 Project  →  需求落盘  →  可视化仿真  →  批量实验  →  证据化结论</w:t>
      </w:r>
    </w:p>
    <w:p>
      <w:r>
        <w:br w:type="page"/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1. 本说明书能带你完成什么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本说明书从一个真正的“空白 Project”开始，完整演示以下闭环：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用一轮或多轮自然语言对话澄清问题，并把建模需求持久写入 Project；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让 Agent 实现可执行的 Python 仿真、批运行入口、可视化入口和 execution-description v2；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创建并运行一个可视化 Experiment，检查参数、状态和 KPI；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创建并运行一个包含 200 个随机种子的 batch Experiment；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先核验 Run 完成状态和输出覆盖，再用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riff_summarize_run_outputs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计算服务端统计；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把可审计结论持久写入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analysis/conclusion.md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1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对同一 Experiment 执行 Rerun，以新 Run 的独立冻结证据确认流程可复现执行。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1.1 必须先理解的权威性边界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Project 中的源文件以及平台冻结、校验过的 Run 配置、完成记录和输出，是本流程的权威状态。Agent 回复、HTML、DOM、可视化页面和本说明书中的截图只是投影，便于理解和复核，不能替代持久文件或 Run 证据。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因此，看到“Agent 说已完成”还不够。每一步都应检查对应的持久结果：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需求阶段：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requirements/modeling-requirements.md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已写入，且 UI 显示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Goal verified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模型阶段：代码、依赖文件和 execution-description v2 已提交，Project 显示 execution ready；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运行阶段：Run 已进入明确的终态，并有冻结摘要、完成摘要和输出；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分析阶段：服务端统计覆盖完整输出，结论文件已持久写入 Project；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复跑阶段：产生一个新的 Run ID，不能把旧 Run 重新命名为复跑结果。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2. 验收环境和案例参数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本次实机流程使用 OpenCode 1.18.11。实际 Project 从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creationSource=blank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创建，最初只有一个 38 B 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model.py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占位文件。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案例固定参数如下：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1200"/>
        <w:gridCol w:w="4710"/>
      </w:tblGrid>
      <w:tr>
        <w:trPr>
          <w:tblHeader w:val="true"/>
        </w:trPr>
        <w:tc>
          <w:tcPr>
            <w:tcW w:type="dxa" w:w="345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left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参数</w:t>
            </w:r>
          </w:p>
        </w:tc>
        <w:tc>
          <w:tcPr>
            <w:tcW w:type="dxa" w:w="12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值</w:t>
            </w:r>
          </w:p>
        </w:tc>
        <w:tc>
          <w:tcPr>
            <w:tcW w:type="dxa" w:w="471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含义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turbineCount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10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风机数量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failureRate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0.002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单位时间故障率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repairDurationHours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8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单次维修时长（小时）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technicianCount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维修技师数量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horizonHours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720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仿真时域（小时）</w:t>
            </w:r>
          </w:p>
        </w:tc>
      </w:tr>
    </w:tbl>
    <w:p>
      <w:pPr>
        <w:spacing w:before="0" w:after="40"/>
      </w:pPr>
      <w:r/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可视化 Run 使用随机种子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42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；大样本 Run 使用 200 个连续随机种子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1001..1200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开始前应确认：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首页 Provider 发现结果为可用状态；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已选择有权限的 Provider / Model；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Project 页面右下角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Project scoped tools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已连接；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当前没有尚未结束的 Run。运行期间，代码、依赖和执行契约会被执行锁保护。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3. 新建空白 Project</w:t>
      </w:r>
    </w:p>
    <w:p>
      <w:pPr>
        <w:pStyle w:val="ManualList"/>
        <w:numPr>
          <w:ilvl w:val="0"/>
          <w:numId w:val="13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在首页点击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New Project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>
        <w:pStyle w:val="ManualList"/>
        <w:numPr>
          <w:ilvl w:val="0"/>
          <w:numId w:val="13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在“项目名称”输入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风机维护大样本仿真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>
        <w:pStyle w:val="ManualList"/>
        <w:numPr>
          <w:ilvl w:val="0"/>
          <w:numId w:val="13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在“创建方式”选择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空白 Project</w:t>
      </w:r>
      <w:r>
        <w:rPr>
          <w:rFonts w:ascii="STSong" w:hAnsi="STSong" w:eastAsia="STSong" w:cs="STSong" w:hint="eastAsia"/>
          <w:color w:val="163A3A"/>
          <w:lang w:val="zh-CN" w:eastAsia="zh-CN"/>
        </w:rPr>
        <w:t>，不要选择模板或导入归档。</w:t>
      </w:r>
    </w:p>
    <w:p>
      <w:pPr>
        <w:pStyle w:val="ManualList"/>
        <w:numPr>
          <w:ilvl w:val="0"/>
          <w:numId w:val="13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选择当前可用的 Provider / Model。</w:t>
      </w:r>
    </w:p>
    <w:p>
      <w:pPr>
        <w:pStyle w:val="ManualList"/>
        <w:numPr>
          <w:ilvl w:val="0"/>
          <w:numId w:val="13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点击“创建项目”。Project 与首个 Conversation 会在同一持久事务内创建。</w:t>
      </w:r>
    </w:p>
    <w:p>
      <w:pPr>
        <w:pStyle w:val="ManualList"/>
        <w:numPr>
          <w:ilvl w:val="0"/>
          <w:numId w:val="13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进入工作台后，检查右侧文件栏。此时只有占位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model.py</w:t>
      </w:r>
      <w:r>
        <w:rPr>
          <w:rFonts w:ascii="STSong" w:hAnsi="STSong" w:eastAsia="STSong" w:cs="STSong" w:hint="eastAsia"/>
          <w:color w:val="163A3A"/>
          <w:lang w:val="zh-CN" w:eastAsia="zh-CN"/>
        </w:rPr>
        <w:t>，实验和 Run 数量均为 0。</w:t>
      </w:r>
    </w:p>
    <w:p>
      <w:pPr>
        <w:keepNext/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descr="图 1：新建后的真实空白 Project，仅有 38 B 的 model.py，占位状态尚不可执行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lank-pro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FigureCaption"/>
      </w:pPr>
      <w:r>
        <w:rPr>
          <w:rFonts w:ascii="STSong" w:hAnsi="STSong" w:eastAsia="STSong" w:cs="STSong" w:hint="eastAsia"/>
          <w:color w:val="5B6870"/>
          <w:sz w:val="18"/>
          <w:lang w:val="zh-CN" w:eastAsia="zh-CN"/>
        </w:rPr>
        <w:t>图 1：新建后的真实空白 Project，仅有 38 B 的 model.py，占位状态尚不可执行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图 1 的关键验收信号是“1 个 Project 文件”“0 个配置 · 0 次 Run”，以及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model.py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中的占位注释。此时不能启动仿真，也不应由渲染器静默补齐模型数据。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4. 用自然语言形成建模需求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4.1 第一轮：提出业务问题和边界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在左侧 Conversation 输入一段自然语言需求。可以使用下面的示例：</w:t>
      </w:r>
    </w:p>
    <w:p>
      <w:pPr>
        <w:pStyle w:val="ManualCode"/>
        <w:shd w:fill="F3F7F6" w:val="clear"/>
        <w:pBdr>
          <w:left w:val="single" w:sz="18" w:space="5" w:color="0F766E"/>
        </w:pBdr>
      </w:pP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请读取当前 Project 工作区，然后为“风机维护大样本仿真”形成建模需求，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并写入 requirements/modeling-requirements.md。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需求要覆盖：决策问题与适用边界；风机、故障、维修资源与事件；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turbineCount、failureRate、repairDurationHours、technicianCount、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horizonHours 和随机种子；totalFailures、completedRepairs、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meanDowntimeHours、endingDownTurbines、availability 五个 KPI；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验证方法、未校准边界和非因果声明。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4.2 多轮澄清：把不确定性留在需求文件中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如业务语义还不完整，可继续对话，例如：</w:t>
      </w:r>
    </w:p>
    <w:p>
      <w:pPr>
        <w:pStyle w:val="ManualCode"/>
        <w:shd w:fill="F3F7F6" w:val="clear"/>
        <w:pBdr>
          <w:left w:val="single" w:sz="18" w:space="5" w:color="0F766E"/>
        </w:pBdr>
      </w:pP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请补充以下约束：技师为共享资源；同一风机停机期间不能重复故障；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维修完成后风机恢复运行；availability 的分母为风机数乘仿真时域；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当前没有真实运维数据，不要声称完成校准，也不要给出因果结论。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多轮对话的目标不是让聊天文本越来越长，而是让一个明确、可审阅的 Project 文件成为最终需求基线。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4.3 验收需求写入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Agent 完成后：</w:t>
      </w:r>
    </w:p>
    <w:p>
      <w:pPr>
        <w:pStyle w:val="ManualList"/>
        <w:numPr>
          <w:ilvl w:val="0"/>
          <w:numId w:val="14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检查左侧出现绿色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Goal verified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4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在右侧文件树展开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requirements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4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打开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requirements/modeling-requirements.md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4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核对决策问题、实体与事件、参数、KPI、验证边界和结论边界均已落盘。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本次验收文件为：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路径：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requirements/modeling-requirements.md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大小：12,660 B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SHA-256：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381b1509310109197ddac004d2aab60defcfe832110b6bb4720073d8c21e7068</w:t>
      </w:r>
    </w:p>
    <w:p>
      <w:pPr>
        <w:keepNext/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 descr="图 2：自然语言需求已作为 Project 文件提交，并出现 Goal verified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quirements-commit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FigureCaption"/>
      </w:pPr>
      <w:r>
        <w:rPr>
          <w:rFonts w:ascii="STSong" w:hAnsi="STSong" w:eastAsia="STSong" w:cs="STSong" w:hint="eastAsia"/>
          <w:color w:val="5B6870"/>
          <w:sz w:val="18"/>
          <w:lang w:val="zh-CN" w:eastAsia="zh-CN"/>
        </w:rPr>
        <w:t>图 2：自然语言需求已作为 Project 文件提交，并出现 Goal verified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5. 建立可执行、可视化的仿真模型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在同一 Conversation 中继续输入：</w:t>
      </w:r>
    </w:p>
    <w:p>
      <w:pPr>
        <w:pStyle w:val="ManualCode"/>
        <w:shd w:fill="F3F7F6" w:val="clear"/>
        <w:pBdr>
          <w:left w:val="single" w:sz="18" w:space="5" w:color="0F766E"/>
        </w:pBdr>
      </w:pP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请依据 requirements/modeling-requirements.md 实现可执行的 Python 仿真模型。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需要提交模型源码、批运行入口、可视化入口、依赖文件和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execution-description v2；同时支持 visual 与 batch Run。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输入契约使用 JSON Schema 2020-12，$schema 必须精确为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https://json-schema.org/draft/2020-12/schema。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输出 metrics.json，角色为 data，包含需求文件定义的五个 KPI。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请先做轻量自检，但暂时不要创建 Experiment 或启动 Run。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Agent 应显式提交文件和执行契约，而不是只在回复中粘贴代码。本次验收的持久文件为：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1200"/>
        <w:gridCol w:w="4710"/>
      </w:tblGrid>
      <w:tr>
        <w:trPr>
          <w:tblHeader w:val="true"/>
        </w:trPr>
        <w:tc>
          <w:tcPr>
            <w:tcW w:type="dxa" w:w="345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left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Project 文件</w:t>
            </w:r>
          </w:p>
        </w:tc>
        <w:tc>
          <w:tcPr>
            <w:tcW w:type="dxa" w:w="12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大小</w:t>
            </w:r>
          </w:p>
        </w:tc>
        <w:tc>
          <w:tcPr>
            <w:tcW w:type="dxa" w:w="471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SHA-256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model.py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3,081 B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4c43bcf8d86a812c50d4926d5278b7fff1be65ea780f0bf560d8afa86d6728b8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code/model.py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3,081 B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4c43bcf8d86a812c50d4926d5278b7fff1be65ea780f0bf560d8afa86d6728b8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code/riff_entry.py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2,828 B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c4f51eb9131308c7a0239dde540dccd7eb9a24ffd5867bdd222c0ff07af74933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code/visual.py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5,104 B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ee07d1d358c7c916e467549c1751bd86a63e9736350d82da179c74b1c64f7cd1</w:t>
            </w:r>
          </w:p>
        </w:tc>
      </w:tr>
      <w:tr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environment/requirements.txt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56 B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6174f6e7bd74e05c083c52b2e0e88e6c82c1ac6b7169617d8889f4df36864b64</w:t>
            </w:r>
          </w:p>
        </w:tc>
      </w:tr>
    </w:tbl>
    <w:p>
      <w:pPr>
        <w:spacing w:before="0" w:after="40"/>
      </w:pPr>
      <w:r/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execution-description v2 的关键内容应为：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runtime=python</w:t>
      </w:r>
      <w:r>
        <w:rPr>
          <w:rFonts w:ascii="STSong" w:hAnsi="STSong" w:eastAsia="STSong" w:cs="STSong" w:hint="eastAsia"/>
          <w:color w:val="163A3A"/>
          <w:lang w:val="zh-CN" w:eastAsia="zh-CN"/>
        </w:rPr>
        <w:t>，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runMode=both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batch 入口为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code/riff_entry.py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，协议为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riff-batch-v1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visual 入口为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code/visual.py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，协议为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riff-visual-v1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，健康检查为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/health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输入 schema 拒绝未声明字段，并对各参数设置类型和范围；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每个样本必须发布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metrics.json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，媒体类型为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application/json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，角色为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data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取消约定为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SIGTERM</w:t>
      </w:r>
      <w:r>
        <w:rPr>
          <w:rFonts w:ascii="STSong" w:hAnsi="STSong" w:eastAsia="STSong" w:cs="STSong" w:hint="eastAsia"/>
          <w:color w:val="163A3A"/>
          <w:lang w:val="zh-CN" w:eastAsia="zh-CN"/>
        </w:rPr>
        <w:t>，并给出有限宽限时间。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在“实验与运行”页面确认 Project 已不再显示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Execution setup required</w:t>
      </w:r>
      <w:r>
        <w:rPr>
          <w:rFonts w:ascii="STSong" w:hAnsi="STSong" w:eastAsia="STSong" w:cs="STSong" w:hint="eastAsia"/>
          <w:color w:val="163A3A"/>
          <w:lang w:val="zh-CN" w:eastAsia="zh-CN"/>
        </w:rPr>
        <w:t>，再进入下一步。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6. 创建并检查可视化仿真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6.1 创建可视化 Experiment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可直接在“实验与运行”面板新建配置，也可以继续用自然语言：</w:t>
      </w:r>
    </w:p>
    <w:p>
      <w:pPr>
        <w:pStyle w:val="ManualCode"/>
        <w:shd w:fill="F3F7F6" w:val="clear"/>
        <w:pBdr>
          <w:left w:val="single" w:sz="18" w:space="5" w:color="0F766E"/>
        </w:pBdr>
      </w:pP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请创建名为“单样本视觉演示”的 visual Experiment，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参数为 turbineCount=10、failureRate=0.002、repairDurationHours=8、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technicianCount=2、horizonHours=720，使用 single seed=42；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然后启动 visual Run。不要修改 Project 源文件。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本次实机 Experiment ID 为：</w:t>
      </w:r>
    </w:p>
    <w:p>
      <w:pPr/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experiment_54b3dcc2b2e9c5dc2bead1f31cd82471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6.2 打开真实可视化服务</w:t>
      </w:r>
    </w:p>
    <w:p>
      <w:pPr>
        <w:pStyle w:val="ManualList"/>
        <w:numPr>
          <w:ilvl w:val="0"/>
          <w:numId w:val="15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在 Runs 区域选择状态为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running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的 visual Run；</w:t>
      </w:r>
    </w:p>
    <w:p>
      <w:pPr>
        <w:pStyle w:val="ManualList"/>
        <w:numPr>
          <w:ilvl w:val="0"/>
          <w:numId w:val="15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点击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Embed visual simulation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，或点击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Open restricted visual frame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后按页面提示继续；</w:t>
      </w:r>
    </w:p>
    <w:p>
      <w:pPr>
        <w:pStyle w:val="ManualList"/>
        <w:numPr>
          <w:ilvl w:val="0"/>
          <w:numId w:val="15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核对页面中显示的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runId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sampleId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和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seed=42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5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核对参数表与冻结配置一致；</w:t>
      </w:r>
    </w:p>
    <w:p>
      <w:pPr>
        <w:pStyle w:val="ManualList"/>
        <w:numPr>
          <w:ilvl w:val="0"/>
          <w:numId w:val="15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查看 KPI 和边界声明；</w:t>
      </w:r>
    </w:p>
    <w:p>
      <w:pPr>
        <w:pStyle w:val="ManualList"/>
        <w:numPr>
          <w:ilvl w:val="0"/>
          <w:numId w:val="15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验收完成后点击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Cancel Run</w:t>
      </w:r>
      <w:r>
        <w:rPr>
          <w:rFonts w:ascii="STSong" w:hAnsi="STSong" w:eastAsia="STSong" w:cs="STSong" w:hint="eastAsia"/>
          <w:color w:val="163A3A"/>
          <w:lang w:val="zh-CN" w:eastAsia="zh-CN"/>
        </w:rPr>
        <w:t>，让视觉服务进入明确终态。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本次视觉 Run 的证据为：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Run ID：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run_cda6213d37c5a98eca1736c56ab4655e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Sample ID：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c4246994a01d269d70584b1d506feba91cd334b7de51a312b165c7a4b84da31c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冻结源工作区摘要：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d20629fd81e655521485f0a0a826628bf3a0997f9350e2dcb2d251190528a2b4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样本计划摘要：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0cae06c77777ac9122c11aff06647e9a6275474150b4a226bfbf807a7db45d0d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配置摘要：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5aded07291a37830c4b9820955019001c3ebb39518e3852c82cd792b81a1f16c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完成摘要：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d883916958a511cf8e4bd389eafe32b81805031ef3e50d70f24f6bf8e0f863d3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健康检查：已验证；最终状态：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cancelled</w:t>
      </w:r>
      <w:r>
        <w:rPr>
          <w:rFonts w:ascii="STSong" w:hAnsi="STSong" w:eastAsia="STSong" w:cs="STSong" w:hint="eastAsia"/>
          <w:color w:val="163A3A"/>
          <w:lang w:val="zh-CN" w:eastAsia="zh-CN"/>
        </w:rPr>
        <w:t>；终态码：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user_cancelled</w:t>
      </w:r>
    </w:p>
    <w:p>
      <w:pPr>
        <w:keepNext/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 descr="图 3：visual Run 的真实受限帧，显示冻结参数、seed=42 和样本 KPI" title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isual-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FigureCaption"/>
      </w:pPr>
      <w:r>
        <w:rPr>
          <w:rFonts w:ascii="STSong" w:hAnsi="STSong" w:eastAsia="STSong" w:cs="STSong" w:hint="eastAsia"/>
          <w:color w:val="5B6870"/>
          <w:sz w:val="18"/>
          <w:lang w:val="zh-CN" w:eastAsia="zh-CN"/>
        </w:rPr>
        <w:t>图 3：visual Run 的真实受限帧，显示冻结参数、seed=42 和样本 KPI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该单样本画面显示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totalFailures=14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completedRepairs=14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meanDowntimeHours=11.2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endingDownTurbines=0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availability=0.9844</w:t>
      </w:r>
      <w:r>
        <w:rPr>
          <w:rFonts w:ascii="STSong" w:hAnsi="STSong" w:eastAsia="STSong" w:cs="STSong" w:hint="eastAsia"/>
          <w:color w:val="163A3A"/>
          <w:lang w:val="zh-CN" w:eastAsia="zh-CN"/>
        </w:rPr>
        <w:t>。这些数值只用于验证模型可运行和可视化链路，不应被解释为总体统计结论。</w:t>
      </w:r>
    </w:p>
    <w:p>
      <w:pPr>
        <w:pStyle w:val="ManualCallout"/>
        <w:shd w:fill="FFF8E8" w:val="clear"/>
        <w:pBdr>
          <w:left w:val="single" w:sz="18" w:space="5" w:color="C89211"/>
        </w:pBdr>
      </w:pPr>
      <w:r>
        <w:rPr>
          <w:rFonts w:ascii="STSong" w:hAnsi="STSong" w:eastAsia="STSong" w:cs="STSong" w:hint="eastAsia"/>
          <w:color w:val="163A3A"/>
          <w:sz w:val="21"/>
          <w:lang w:val="zh-CN" w:eastAsia="zh-CN"/>
        </w:rPr>
        <w:t>图 3 左侧的红色卡片来自当时已修复的目标分类误判：该轮只创建 Experiment/Run，却被旧逻辑错误要求 Project 文件写入证据。它不否定右侧真实视觉服务和冻结 Run 证据。判断运行是否存在，应以 Run 状态和摘要为准。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7. 建立并运行 200 样本 Experiment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在 Conversation 中输入：</w:t>
      </w:r>
    </w:p>
    <w:p>
      <w:pPr>
        <w:pStyle w:val="ManualCode"/>
        <w:shd w:fill="F3F7F6" w:val="clear"/>
        <w:pBdr>
          <w:left w:val="single" w:sz="18" w:space="5" w:color="0F766E"/>
        </w:pBdr>
      </w:pP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请创建名为“200样本稳定性实验”的 batch Experiment。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模型参数保持 turbineCount=10、failureRate=0.002、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repairDurationHours=8、technicianCount=2、horizonHours=720；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使用 multiple-seeds，随机种子为 1001 到 1200，共 200 个样本。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创建后启动 batch Run，不要修改 Project 源文件。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也可在“实验与运行”面板完成同样操作：把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runKind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设置为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batch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，粘贴参数和 200 个种子的配置，保存后点击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Start batch Run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本次实机 Experiment ID 为：</w:t>
      </w:r>
    </w:p>
    <w:p>
      <w:pPr/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experiment_7e2cde1b44cd471db989efc9f7fb1fcc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运行期间不要重启 Backend 或 OpenCode，也不要修改受执行锁保护的代码与契约。等待 Run 从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queued/running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进入终态，然后检查：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Status=succeeded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Samples=200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，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Seeds=200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Outputs=200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，即每个样本恰有一个必需输出；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Terminal status=succeeded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Terminal code=batch_run_succeeded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本次首轮 batch Run 的权威证据为：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left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字段</w:t>
            </w:r>
          </w:p>
        </w:tc>
        <w:tc>
          <w:tcPr>
            <w:tcW w:type="dxa" w:w="666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Run 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run_cbe6898534a21c58c8cf0259b6ec26e6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succeeded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样本数 / 种子数 / 输出数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200 / 200 / 200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冻结源工作区摘要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d20629fd81e655521485f0a0a826628bf3a0997f9350e2dcb2d251190528a2b4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样本计划摘要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8acf0583e5330ec4ffa017c9256b4da6daf47bd67a32dbce8cb7e6d1932e933b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配置摘要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5ea0b6b2a924da8be9de48b92cf68f7b883ee71e671b6cc2bff48971638897ee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完成摘要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f1c2686bc82bb4842eb4c98065783fde131d1ebe2d950848d7b944c42bf6b582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持续时间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16574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资源摘要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maxConcurrencyObserved=4</w:t>
            </w: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，</w:t>
            </w: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outputFiles=200</w:t>
            </w: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，</w:t>
            </w: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outputBytes=26650</w:t>
            </w:r>
          </w:p>
        </w:tc>
      </w:tr>
    </w:tbl>
    <w:p>
      <w:pPr>
        <w:spacing w:before="0" w:after="40"/>
      </w:pPr>
      <w:r/>
    </w:p>
    <w:p>
      <w:pPr>
        <w:keepNext/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 descr="图 4：200 样本 batch Run 成功结束，状态、样本、种子和输出均可直接复核" title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tch-200-succee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FigureCaption"/>
      </w:pPr>
      <w:r>
        <w:rPr>
          <w:rFonts w:ascii="STSong" w:hAnsi="STSong" w:eastAsia="STSong" w:cs="STSong" w:hint="eastAsia"/>
          <w:color w:val="5B6870"/>
          <w:sz w:val="18"/>
          <w:lang w:val="zh-CN" w:eastAsia="zh-CN"/>
        </w:rPr>
        <w:t>图 4：200 样本 batch Run 成功结束，状态、样本、种子和输出均可直接复核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8. 从完整输出得到可信统计结论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8.1 不要直接让 Agent“看几条后总结”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分析必须绑定一个明确且成功的 Run，并证明输出覆盖完整。本次使用专门的服务端汇总工具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riff_summarize_run_outputs</w:t>
      </w:r>
      <w:r>
        <w:rPr>
          <w:rFonts w:ascii="STSong" w:hAnsi="STSong" w:eastAsia="STSong" w:cs="STSong" w:hint="eastAsia"/>
          <w:color w:val="163A3A"/>
          <w:lang w:val="zh-CN" w:eastAsia="zh-CN"/>
        </w:rPr>
        <w:t>，避免因聊天上下文截断、分页遗漏或手工抄录导致统计错误。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在 Conversation 中输入：</w:t>
      </w:r>
    </w:p>
    <w:p>
      <w:pPr>
        <w:pStyle w:val="ManualCode"/>
        <w:shd w:fill="F3F7F6" w:val="clear"/>
        <w:pBdr>
          <w:left w:val="single" w:sz="18" w:space="5" w:color="0F766E"/>
        </w:pBdr>
      </w:pP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请分析最近一次 succeeded 的 200 样本 batch Run，并把持久结论写入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analysis/conclusion.md。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先确认目标 runRef=run_cbe6898534a21c58c8cf0259b6ec26e6 的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status=succeeded、plannedSampleCount=200、completedSampleCount=200，并记录 completionDigest。然后对 logicalName=metrics 调用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riff_summarize_run_outputs，统计 totalFailures、completedRepairs、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meanDowntimeHours、endingDownTurbines、availability 的 count、mean、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sampleStdDev、min、P50、Type-7 P95 和 max；同时给出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endingDownTurbines 的非零样本数与比例。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结论文件必须记录 sourceWorkspaceDigest、completionDigest、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samplePlanDigest、configurationDigest、outputSetDigest、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outputHashesDigest、statisticsDigest、完整覆盖证明和未校准/非因果边界。</w:t>
      </w:r>
      <w:r>
        <w:br/>
      </w:r>
      <w:r>
        <w:rPr>
          <w:rFonts w:ascii="STSong" w:hAnsi="STSong" w:eastAsia="STSong" w:cs="STSong" w:hint="eastAsia"/>
          <w:color w:val="203434"/>
          <w:sz w:val="17"/>
          <w:lang w:val="zh-CN" w:eastAsia="zh-CN"/>
        </w:rPr>
        <w:t>不要用抽样输出代替完整统计，也不要手算重算服务端结果。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8.2 检查完整性证明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本次服务端汇总返回：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completeOutputCoverage=true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outputCount=200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coveredSampleIndicesDigest=3aff9a6fb6509b8968896ebe61adb4c30173323aa5a8564336c4474b2f015a25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outputSetDigest=7106d7bf0a22140edffc136db28162a6dcf7c1b1c4790eb5611582e67207363b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outputHashesDigest=6c846fa33e47206f095c80e0d2f4c0624f2ea9407b23dcb33c771e2f6a49f188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statisticsDigest=a1487ac0a027276b697c3735754ae49bef236e245f6bbf1596d11c594a5c9bc2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分位数算法：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linear_type_7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若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completeOutputCoverage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不为 true、样本索引不覆盖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0..199</w:t>
      </w:r>
      <w:r>
        <w:rPr>
          <w:rFonts w:ascii="STSong" w:hAnsi="STSong" w:eastAsia="STSong" w:cs="STSong" w:hint="eastAsia"/>
          <w:color w:val="163A3A"/>
          <w:lang w:val="zh-CN" w:eastAsia="zh-CN"/>
        </w:rPr>
        <w:t>、Run 未成功，或 provenance 与目标 Run 不一致，应停止结论写入并先修复证据缺口。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8.3 本次 200 样本统计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以下数值是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riff_summarize_run_outputs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的服务端结果。为便于阅读，正文保留合理小数位；持久结论文件保留服务端原始浮点值。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00"/>
        <w:gridCol w:w="1000"/>
        <w:gridCol w:w="1350"/>
        <w:gridCol w:w="850"/>
        <w:gridCol w:w="850"/>
        <w:gridCol w:w="1760"/>
        <w:gridCol w:w="850"/>
      </w:tblGrid>
      <w:tr>
        <w:trPr>
          <w:tblHeader w:val="true"/>
        </w:trPr>
        <w:tc>
          <w:tcPr>
            <w:tcW w:type="dxa" w:w="20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left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KPI</w:t>
            </w:r>
          </w:p>
        </w:tc>
        <w:tc>
          <w:tcPr>
            <w:tcW w:type="dxa" w:w="7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count</w:t>
            </w:r>
          </w:p>
        </w:tc>
        <w:tc>
          <w:tcPr>
            <w:tcW w:type="dxa" w:w="10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mean</w:t>
            </w:r>
          </w:p>
        </w:tc>
        <w:tc>
          <w:tcPr>
            <w:tcW w:type="dxa" w:w="135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sampleStdDev</w:t>
            </w:r>
          </w:p>
        </w:tc>
        <w:tc>
          <w:tcPr>
            <w:tcW w:type="dxa" w:w="85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min</w:t>
            </w:r>
          </w:p>
        </w:tc>
        <w:tc>
          <w:tcPr>
            <w:tcW w:type="dxa" w:w="85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P50</w:t>
            </w:r>
          </w:p>
        </w:tc>
        <w:tc>
          <w:tcPr>
            <w:tcW w:type="dxa" w:w="176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P95（Type-7）</w:t>
            </w:r>
          </w:p>
        </w:tc>
        <w:tc>
          <w:tcPr>
            <w:tcW w:type="dxa" w:w="85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max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totalFailures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13.985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3.836452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5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14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20.05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24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completedRepairs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13.850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3.807887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5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14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20.05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24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meanDowntimeHours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11.1605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3.074222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4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11.2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16.515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19.3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endingDownTurbines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0.135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0.396942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1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3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availability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200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0.984496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0.004270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0.9732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0.9844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0.9911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0.9944</w:t>
            </w:r>
          </w:p>
        </w:tc>
      </w:tr>
    </w:tbl>
    <w:p>
      <w:pPr>
        <w:spacing w:before="0" w:after="40"/>
      </w:pPr>
      <w:r/>
    </w:p>
    <w:p>
      <w:pPr/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endingDownTurbines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非零的样本为 24 个，占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24/200=12%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8.4 验收持久结论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分析完成后，在右侧文件树打开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analysis/conclusion.md</w:t>
      </w:r>
      <w:r>
        <w:rPr>
          <w:rFonts w:ascii="STSong" w:hAnsi="STSong" w:eastAsia="STSong" w:cs="STSong" w:hint="eastAsia"/>
          <w:color w:val="163A3A"/>
          <w:lang w:val="zh-CN" w:eastAsia="zh-CN"/>
        </w:rPr>
        <w:t>，检查它不是一条聊天回复，而是 Project 持久文件。本次文件证据为：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路径：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analysis/conclusion.md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大小：1,784 B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SHA-256：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db2ce52b02f26aa22d6ea2f6049dd572e26faad6e55fb4a7298e79c1787a13ed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更新时间：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2026-08-13T11:33:38.537Z</w:t>
      </w:r>
    </w:p>
    <w:p>
      <w:pPr>
        <w:keepNext/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 descr="图 5：真实产品界面中的持久 analysis/conclusion.md，包含 Provenance、完整覆盖证明和 KPI 结论" title="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alysis-concl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FigureCaption"/>
      </w:pPr>
      <w:r>
        <w:rPr>
          <w:rFonts w:ascii="STSong" w:hAnsi="STSong" w:eastAsia="STSong" w:cs="STSong" w:hint="eastAsia"/>
          <w:color w:val="5B6870"/>
          <w:sz w:val="18"/>
          <w:lang w:val="zh-CN" w:eastAsia="zh-CN"/>
        </w:rPr>
        <w:t>图 5：真实产品界面中的持久 analysis/conclusion.md，包含 Provenance、完整覆盖证明和 KPI 结论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8.5 如何解读结果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在当前冻结参数和 200 个随机种子下，平均发生约 13.985 次故障，平均完成 13.85 次维修；12% 的样本在时域末仍有至少一台风机停机。可用度中位数为 0.9844，Type-7 P95 为 0.9911，样本最小值为 0.9732。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这些是“给定模型和配置下”的条件性模拟统计。该示例模型没有使用真实运维数据校准，没有进行外部验证，也没有建立可识别的因果设计。因此：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不能把 0.984496 解释为真实风场可用度预测；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不能从本次单一配置得出“2 名技师优于其他配置”的因果结论；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不能直接把结果当作维护排班、运营或投资建议；</w:t>
      </w:r>
    </w:p>
    <w:p>
      <w:pPr>
        <w:pStyle w:val="ManualList"/>
        <w:numPr>
          <w:ilvl w:val="0"/>
          <w:numId w:val="10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若要支持决策，应补充真实数据校准、替代配置对照、敏感性分析和独立验证。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9. Rerun：证明同一配置能再次独立执行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回到“实验与运行”页面，选择已结束的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200样本稳定性实验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和对应 Run。若当前 Project 工作区摘要与该 Run 的冻结源摘要一致，按钮会显示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Rerun batch Run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>
        <w:pStyle w:val="ManualList"/>
        <w:numPr>
          <w:ilvl w:val="0"/>
          <w:numId w:val="16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点击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Rerun batch Run</w:t>
      </w:r>
      <w:r>
        <w:rPr>
          <w:rFonts w:ascii="STSong" w:hAnsi="STSong" w:eastAsia="STSong" w:cs="STSong" w:hint="eastAsia"/>
          <w:color w:val="163A3A"/>
          <w:lang w:val="zh-CN" w:eastAsia="zh-CN"/>
        </w:rPr>
        <w:t>；也可在 Conversation 中要求“对同一 200 样本 Experiment 发起一次新的 Rerun，不修改模型或配置”。</w:t>
      </w:r>
    </w:p>
    <w:p>
      <w:pPr>
        <w:pStyle w:val="ManualList"/>
        <w:numPr>
          <w:ilvl w:val="0"/>
          <w:numId w:val="16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确认生成了新的 Run ID；旧 Run ID 不应被覆盖。</w:t>
      </w:r>
    </w:p>
    <w:p>
      <w:pPr>
        <w:pStyle w:val="ManualList"/>
        <w:numPr>
          <w:ilvl w:val="0"/>
          <w:numId w:val="16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等待新 Run 达到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>
        <w:pStyle w:val="ManualList"/>
        <w:numPr>
          <w:ilvl w:val="0"/>
          <w:numId w:val="16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再次检查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Samples=200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Seeds=200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Outputs=200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和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batch_run_succeeded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>
        <w:pStyle w:val="ManualList"/>
        <w:numPr>
          <w:ilvl w:val="0"/>
          <w:numId w:val="16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对比两次 Run 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sourceWorkspaceDigest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samplePlanDigest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configurationDigest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和完成摘要。新的 Run ID 和独立完成记录证明它确实重新执行；相同的样本计划与配置摘要证明实验条件未变。若两次 Run 之间新增了持久 Project 文件，源工作区摘要应如实变化，不能为了追求摘要相同而隐藏变化。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本次复跑已产生独立成功证据：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left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字段</w:t>
            </w:r>
          </w:p>
        </w:tc>
        <w:tc>
          <w:tcPr>
            <w:tcW w:type="dxa" w:w="6660"/>
            <w:shd w:fill="E6F4F1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Header"/>
              <w:jc w:val="center"/>
            </w:pPr>
            <w:r>
              <w:rPr>
                <w:rFonts w:ascii="STSong" w:hAnsi="STSong" w:eastAsia="STSong" w:cs="STSong" w:hint="eastAsia"/>
                <w:b/>
                <w:color w:val="115E59"/>
                <w:sz w:val="18"/>
                <w:lang w:val="zh-CN" w:eastAsia="zh-CN"/>
              </w:rPr>
              <w:t>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新 Run 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run_ed802ff4a121d1db54da0ae27e89ba1d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状态 / 终态码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succeeded / batch_run_succeeded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样本数 / 种子数 / 输出数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200 / 200 / 200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冻结源工作区摘要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35bdd633321b90d376f430828a229d8e01c9b83794acbf336ee42dc5011f4b06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样本计划摘要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8acf0583e5330ec4ffa017c9256b4da6daf47bd67a32dbce8cb7e6d1932e933b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配置摘要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5ea0b6b2a924da8be9de48b92cf68f7b883ee71e671b6cc2bff48971638897ee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完成摘要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aa0a7fdedece5c36770b465daaa1d37d6a2f801066caa155130e42916f0f79c2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输出资源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outputFiles=200</w:t>
            </w: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，</w:t>
            </w: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outputBytes=26650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left"/>
            </w:pPr>
            <w:r>
              <w:rPr>
                <w:rFonts w:ascii="STSong" w:hAnsi="STSong" w:eastAsia="STSong" w:cs="STSong" w:hint="eastAsia"/>
                <w:color w:val="163A3A"/>
                <w:sz w:val="18"/>
                <w:lang w:val="zh-CN" w:eastAsia="zh-CN"/>
              </w:rPr>
              <w:t>完成时间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ManualTableText"/>
              <w:jc w:val="center"/>
            </w:pPr>
            <w:r>
              <w:rPr>
                <w:rFonts w:ascii="STSong" w:hAnsi="STSong" w:eastAsia="STSong" w:cs="STSong" w:hint="eastAsia"/>
                <w:color w:val="115E59"/>
                <w:sz w:val="18"/>
                <w:lang w:val="zh-CN" w:eastAsia="zh-CN"/>
                <w:shd w:fill="E6F4F1"/>
              </w:rPr>
              <w:t>2026-08-13T11:42:14.009Z</w:t>
            </w:r>
          </w:p>
        </w:tc>
      </w:tr>
    </w:tbl>
    <w:p>
      <w:pPr>
        <w:spacing w:before="0" w:after="40"/>
      </w:pPr>
      <w:r/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复跑的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samplePlanDigest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和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configurationDigest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与首轮完全一致。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sourceWorkspaceDigest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从首轮的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d20629fd...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变为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35bdd633...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，原因是首轮之后先把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analysis/conclusion.md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作为 Project 权威文件持久写入，随后又追加了分析状态说明行；平台正确地把这些持久变化纳入最终 Run 的冻结工作区摘要。两次完成摘要不同，且复跑具有新的 Run ID，说明这是一次独立执行记录，而不是旧结果的重新标注。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本次最终复跑在最新代码下完成；Conversation 显示绿色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Goal verified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，Runs 面板同时显示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Samples=200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Seeds=200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、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Outputs=200</w:t>
      </w:r>
      <w:r>
        <w:rPr>
          <w:rFonts w:ascii="STSong" w:hAnsi="STSong" w:eastAsia="STSong" w:cs="STSong" w:hint="eastAsia"/>
          <w:color w:val="163A3A"/>
          <w:lang w:val="zh-CN" w:eastAsia="zh-CN"/>
        </w:rPr>
        <w:t>。界面投影与权威 Run 状态一致。</w:t>
      </w:r>
    </w:p>
    <w:p>
      <w:pPr>
        <w:keepNext/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6" name="Picture 6" descr="图 6：最新代码下的独立 Rerun 成功，Goal verified 与 200 个样本、种子和输出同时可见" title="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run-succee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FigureCaption"/>
      </w:pPr>
      <w:r>
        <w:rPr>
          <w:rFonts w:ascii="STSong" w:hAnsi="STSong" w:eastAsia="STSong" w:cs="STSong" w:hint="eastAsia"/>
          <w:color w:val="5B6870"/>
          <w:sz w:val="18"/>
          <w:lang w:val="zh-CN" w:eastAsia="zh-CN"/>
        </w:rPr>
        <w:t>图 6：最新代码下的独立 Rerun 成功，Goal verified 与 200 个样本、种子和输出同时可见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10. 常见问题与故障排查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10.1 为什么 Provider 读取 Project 后看起来停止了？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现有证据不支持“Riff MCP 在读取后通用失败”这一判断。此前 GLM 轮次中，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riff_list_project_workspace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和读取工具都已经正常返回；随后模型进入很长的隐藏推理和草稿生成阶段。观察到的两次长生成约为 46,372 字符 / 163 秒和 34,140 字符 / 109 秒，之后轮次被人工中止或因 Backend 重启结束，所以没有出现后续写入或最终回复。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也就是说，表象是“读完停止”，实质是“读工具已成功，模型仍在长时间生成；在写工具或最终回复前，外层执行被中止”。另一次真实轮次也证明模型最终能从读取继续到写入：它在约 46.5 秒、13,449 字符的生成后提交了文件。还有一次模型已经提交文件，但 Backend 恰在提交与最终文本之间重启，持久文件存在，Turn 却被映射为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backend_restart</w:t>
      </w:r>
      <w:r>
        <w:rPr>
          <w:rFonts w:ascii="STSong" w:hAnsi="STSong" w:eastAsia="STSong" w:cs="STSong" w:hint="eastAsia"/>
          <w:color w:val="163A3A"/>
          <w:lang w:val="zh-CN" w:eastAsia="zh-CN"/>
        </w:rPr>
        <w:t>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排查时应按以下顺序：</w:t>
      </w:r>
    </w:p>
    <w:p>
      <w:pPr>
        <w:pStyle w:val="ManualList"/>
        <w:numPr>
          <w:ilvl w:val="0"/>
          <w:numId w:val="17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先查看该轮的工具调用和工具返回，确认读取是否真的失败；</w:t>
      </w:r>
    </w:p>
    <w:p>
      <w:pPr>
        <w:pStyle w:val="ManualList"/>
        <w:numPr>
          <w:ilvl w:val="0"/>
          <w:numId w:val="17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再查看读取之后的模型流是否仍在生成；</w:t>
      </w:r>
    </w:p>
    <w:p>
      <w:pPr>
        <w:pStyle w:val="ManualList"/>
        <w:numPr>
          <w:ilvl w:val="0"/>
          <w:numId w:val="17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使用</w:t>
      </w:r>
      <w:r>
        <w:rPr>
          <w:rFonts w:ascii="STSong" w:hAnsi="STSong" w:eastAsia="STSong" w:cs="STSong" w:hint="eastAsia"/>
          <w:b/>
          <w:color w:val="163A3A"/>
          <w:lang w:val="zh-CN" w:eastAsia="zh-CN"/>
        </w:rPr>
        <w:t>精确 Project 工作目录</w:t>
      </w:r>
      <w:r>
        <w:rPr>
          <w:rFonts w:ascii="STSong" w:hAnsi="STSong" w:eastAsia="STSong" w:cs="STSong" w:hint="eastAsia"/>
          <w:color w:val="163A3A"/>
          <w:lang w:val="zh-CN" w:eastAsia="zh-CN"/>
        </w:rPr>
        <w:t>查询 OpenCode session status；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/session/status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是目录作用域的，未带正确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directory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时返回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{}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不表示该 Project 已空闲；</w:t>
      </w:r>
    </w:p>
    <w:p>
      <w:pPr>
        <w:pStyle w:val="ManualList"/>
        <w:numPr>
          <w:ilvl w:val="0"/>
          <w:numId w:val="17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同时核对 Project 文件和 Run 的持久状态，避免只看聊天终态标签；</w:t>
      </w:r>
    </w:p>
    <w:p>
      <w:pPr>
        <w:pStyle w:val="ManualList"/>
        <w:numPr>
          <w:ilvl w:val="0"/>
          <w:numId w:val="17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活跃轮次正在生成时不要重启 Backend 或 OpenCode，也不要重复提交同一请求。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本地极小 canary 只用于确认链路可续写：在同一微型读写任务上，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glm-5.2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约 23 秒，读到写的间隔约 4.75 秒；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gpt-5.6-luna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约 10.6 秒，间隔约 1.97 秒。样本太小，不能当作普遍性能排名。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glm-5.2-highspeed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虽可见，但当时账户没有对应 entitlement；这与普通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glm-5.2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的读取成功和长生成是两件事。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 xml:space="preserve">10.2 不要用错误目录的 </w:t>
      </w:r>
      <w:r>
        <w:rPr>
          <w:rFonts w:ascii="STSong" w:hAnsi="STSong" w:eastAsia="STSong" w:cs="STSong" w:hint="eastAsia"/>
          <w:color w:val="115E59"/>
          <w:sz w:val="26"/>
          <w:lang w:val="zh-CN" w:eastAsia="zh-CN"/>
          <w:shd w:fill="E6F4F1"/>
        </w:rPr>
        <w:t>{}</w:t>
      </w: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 xml:space="preserve"> 判断“已空闲”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 xml:space="preserve">OpenCode 的 session status 与工作目录绑定。Riff 为每个 Project 使用独立工作区，因此只有带上该 Project 精确目录的状态查询才能说明它是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busy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还是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idle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。根目录或其他目录下的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{}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只能说明该作用域没有状态记录。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10.3 Agent 回复失败，但文件或 Run 已经存在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先看右侧 Project 文件、Experiment 和 Run 列表，再看写入 receipt 与 Run 完成记录。Backend 重启、客户端断线或终态映射可能使对话卡片显示失败，但已提交的 Project 文件不会因此自动消失。若持久写入存在，应从该状态继续，不要盲目重复覆盖。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10.4 batch Run 成功但不能形成结论</w:t>
      </w:r>
    </w:p>
    <w:p>
      <w:pPr/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succeeded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只说明技术执行和声明输出校验通过。分析仍须满足：目标 Run 明确、完整覆盖 200 个输出、输出角色适合分析、provenance 一致、服务端摘要成功，并把结论持久写入 Project。缺少任一项都应标记为“运行成功、分析证据不足”。</w:t>
      </w:r>
    </w:p>
    <w:p>
      <w:pPr>
        <w:pStyle w:val="Heading2"/>
      </w:pPr>
      <w:r>
        <w:rPr>
          <w:rFonts w:ascii="STSong" w:hAnsi="STSong" w:eastAsia="STSong" w:cs="STSong" w:hint="eastAsia"/>
          <w:b/>
          <w:color w:val="0F766E"/>
          <w:sz w:val="26"/>
          <w:lang w:val="zh-CN" w:eastAsia="zh-CN"/>
        </w:rPr>
        <w:t>10.5 可视化能打开，是否等于模型正确？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不等于。视觉页面是一个指定 Run 的投影。它可以证明入口、健康检查、冻结参数和页面渲染可用，但不能替代模型校准、逻辑验证、统计验证或因果识别。</w:t>
      </w:r>
    </w:p>
    <w:p>
      <w:pPr>
        <w:pStyle w:val="Heading1"/>
      </w:pPr>
      <w:r>
        <w:rPr>
          <w:rFonts w:ascii="STSong" w:hAnsi="STSong" w:eastAsia="STSong" w:cs="STSong" w:hint="eastAsia"/>
          <w:b/>
          <w:color w:val="115E59"/>
          <w:sz w:val="32"/>
          <w:lang w:val="zh-CN" w:eastAsia="zh-CN"/>
        </w:rPr>
        <w:t>11. 最终验收清单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Project 确认为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blank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创建，而不是模板或导入；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建模需求已持久写入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requirements/modeling-requirements.md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可执行模型、依赖、batch/visual 入口和 v2 契约已提交；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visual Experiment 已创建，真实视觉服务已打开并核对；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200 样本 batch Experiment 已成功，200 个输出均已发布；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riff_summarize_run_outputs</w:t>
      </w:r>
      <w:r>
        <w:rPr>
          <w:rFonts w:ascii="STSong" w:hAnsi="STSong" w:eastAsia="STSong" w:cs="STSong" w:hint="eastAsia"/>
          <w:color w:val="163A3A"/>
          <w:lang w:val="zh-CN" w:eastAsia="zh-CN"/>
        </w:rPr>
        <w:t xml:space="preserve"> 已提供完整覆盖证明和服务器端统计；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 xml:space="preserve">结论已持久写入 </w:t>
      </w:r>
      <w:r>
        <w:rPr>
          <w:rFonts w:ascii="STSong" w:hAnsi="STSong" w:eastAsia="STSong" w:cs="STSong" w:hint="eastAsia"/>
          <w:color w:val="115E59"/>
          <w:sz w:val="18"/>
          <w:lang w:val="zh-CN" w:eastAsia="zh-CN"/>
          <w:shd w:fill="E6F4F1"/>
        </w:rPr>
        <w:t>analysis/conclusion.md</w:t>
      </w:r>
      <w:r>
        <w:rPr>
          <w:rFonts w:ascii="STSong" w:hAnsi="STSong" w:eastAsia="STSong" w:cs="STSong" w:hint="eastAsia"/>
          <w:color w:val="163A3A"/>
          <w:lang w:val="zh-CN" w:eastAsia="zh-CN"/>
        </w:rPr>
        <w:t>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图 5 已从真实产品界面捕获，展示持久分析文件；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已产生并记录第二个独立的 200 样本 Rerun 成功证据；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文档明确说明当前示例未校准、非因果、非决策建议；</w:t>
      </w:r>
    </w:p>
    <w:p>
      <w:pPr>
        <w:pStyle w:val="ManualList"/>
        <w:numPr>
          <w:ilvl w:val="0"/>
          <w:numId w:val="12"/>
        </w:numPr>
      </w:pPr>
      <w:r>
        <w:rPr>
          <w:rFonts w:ascii="STSong" w:hAnsi="STSong" w:eastAsia="STSong" w:cs="STSong" w:hint="eastAsia"/>
          <w:color w:val="163A3A"/>
          <w:lang w:val="zh-CN" w:eastAsia="zh-CN"/>
        </w:rPr>
        <w:t>所有截图均按投影处理，未替代 Project / Run 权威状态。</w:t>
      </w:r>
    </w:p>
    <w:p>
      <w:pPr/>
      <w:r>
        <w:rPr>
          <w:rFonts w:ascii="STSong" w:hAnsi="STSong" w:eastAsia="STSong" w:cs="STSong" w:hint="eastAsia"/>
          <w:color w:val="163A3A"/>
          <w:lang w:val="zh-CN" w:eastAsia="zh-CN"/>
        </w:rPr>
        <w:t>至此，本流程已构成“从空白 Project 到持久分析结论，并有独立复跑证据”的完整截图验收。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Footer"/>
      <w:jc w:val="center"/>
    </w:pPr>
    <w:r>
      <w:rPr>
        <w:rFonts w:ascii="STSong" w:hAnsi="STSong" w:eastAsia="STSong" w:cs="STSong" w:hint="eastAsia"/>
        <w:color w:val="5B6870"/>
        <w:sz w:val="17"/>
        <w:lang w:val="zh-CN" w:eastAsia="zh-CN"/>
      </w:rPr>
      <w:t xml:space="preserve">第 </w:t>
    </w:r>
    <w:fldSimple w:instr="PAGE">
      <w:r>
        <w:rPr>
          <w:color w:val="5B6870"/>
          <w:sz w:val="17"/>
        </w:rPr>
        <w:t>1</w:t>
      </w:r>
    </w:fldSimple>
    <w:r>
      <w:rPr>
        <w:rFonts w:ascii="STSong" w:hAnsi="STSong" w:eastAsia="STSong" w:cs="STSong" w:hint="eastAsia"/>
        <w:color w:val="5B6870"/>
        <w:sz w:val="17"/>
        <w:lang w:val="zh-CN" w:eastAsia="zh-CN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Footer"/>
      <w:jc w:val="center"/>
    </w:pPr>
    <w:r>
      <w:rPr>
        <w:rFonts w:ascii="STSong" w:hAnsi="STSong" w:eastAsia="STSong" w:cs="STSong" w:hint="eastAsia"/>
        <w:color w:val="5B6870"/>
        <w:sz w:val="17"/>
        <w:lang w:val="zh-CN" w:eastAsia="zh-CN"/>
      </w:rPr>
      <w:t>实机验收版  | 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STSong" w:hAnsi="STSong" w:eastAsia="STSong" w:cs="STSong" w:hint="eastAsia"/>
        <w:b/>
        <w:color w:val="0F766E"/>
        <w:sz w:val="17"/>
        <w:lang w:val="zh-CN" w:eastAsia="zh-CN"/>
      </w:rPr>
      <w:t>RIFF  /  使用说明书</w:t>
    </w:r>
    <w:r>
      <w:rPr>
        <w:rFonts w:ascii="STSong" w:hAnsi="STSong" w:eastAsia="STSong" w:cs="STSong" w:hint="eastAsia"/>
        <w:color w:val="5B6870"/>
        <w:sz w:val="17"/>
        <w:lang w:val="zh-CN" w:eastAsia="zh-CN"/>
      </w:rPr>
      <w:t xml:space="preserve">    从空白 Project 到大样本仿真结论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TSong" w:hAnsi="STSong" w:eastAsia="STSong" w:cs="STSong" w:hint="eastAsia"/>
        <w:b/>
        <w:color w:val="0F766E"/>
        <w:sz w:val="17"/>
        <w:lang w:val="zh-CN" w:eastAsia="zh-CN"/>
      </w:rPr>
      <w:t>RIFF  ·  实机使用说明书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TSong" w:hAnsi="STSong" w:eastAsia="STSong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TSong" w:hAnsi="STSong" w:eastAsia="STSong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✓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TSong" w:hAnsi="STSong" w:eastAsia="STSong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TSong" w:hAnsi="STSong" w:eastAsia="STSong" w:cs="STSong" w:hint="eastAsia"/>
      <w:color w:val="163A3A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STSong" w:hAnsi="STSong" w:eastAsia="STSong" w:cs="STSong" w:hint="eastAsia"/>
      <w:b/>
      <w:bCs/>
      <w:color w:val="115E59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STSong" w:hAnsi="STSong" w:eastAsia="STSong" w:cs="STSong" w:hint="eastAsia"/>
      <w:b/>
      <w:bCs/>
      <w:color w:val="0F766E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STSong" w:hAnsi="STSong" w:eastAsia="STSong" w:cs="STSong" w:hint="eastAsia"/>
      <w:b/>
      <w:bCs/>
      <w:color w:val="163A3A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verTitle">
    <w:name w:val="Manual Cover Title"/>
    <w:pPr>
      <w:keepLines/>
      <w:spacing w:before="0" w:after="200" w:line="240" w:lineRule="auto"/>
      <w:jc w:val="center"/>
    </w:pPr>
    <w:rPr>
      <w:rFonts w:ascii="STSong" w:hAnsi="STSong" w:eastAsia="STSong" w:cs="STSong" w:hint="eastAsia"/>
      <w:b/>
      <w:color w:val="163A3A"/>
      <w:sz w:val="58"/>
      <w:lang w:val="zh-CN" w:eastAsia="zh-CN"/>
    </w:rPr>
  </w:style>
  <w:style w:type="paragraph" w:customStyle="1" w:styleId="ManualCoverSubtitle">
    <w:name w:val="Manual Cover Subtitle"/>
    <w:pPr>
      <w:spacing w:before="0" w:after="480" w:line="264" w:lineRule="auto"/>
      <w:jc w:val="center"/>
    </w:pPr>
    <w:rPr>
      <w:rFonts w:ascii="STSong" w:hAnsi="STSong" w:eastAsia="STSong" w:cs="STSong" w:hint="eastAsia"/>
      <w:b w:val="0"/>
      <w:color w:val="0F766E"/>
      <w:sz w:val="28"/>
      <w:lang w:val="zh-CN" w:eastAsia="zh-CN"/>
    </w:rPr>
  </w:style>
  <w:style w:type="paragraph" w:customStyle="1" w:styleId="ManualKicker">
    <w:name w:val="Manual Kicker"/>
    <w:pPr>
      <w:spacing w:before="0" w:after="360"/>
      <w:jc w:val="center"/>
    </w:pPr>
    <w:rPr>
      <w:rFonts w:ascii="STSong" w:hAnsi="STSong" w:eastAsia="STSong" w:cs="STSong" w:hint="eastAsia"/>
      <w:b/>
      <w:color w:val="0F766E"/>
      <w:sz w:val="19"/>
      <w:lang w:val="zh-CN" w:eastAsia="zh-CN"/>
    </w:rPr>
  </w:style>
  <w:style w:type="paragraph" w:customStyle="1" w:styleId="ManualCoverMeta">
    <w:name w:val="Manual Cover Meta"/>
    <w:pPr>
      <w:spacing w:before="0" w:after="100" w:line="276" w:lineRule="auto"/>
      <w:jc w:val="center"/>
    </w:pPr>
    <w:rPr>
      <w:rFonts w:ascii="STSong" w:hAnsi="STSong" w:eastAsia="STSong" w:cs="STSong" w:hint="eastAsia"/>
      <w:color w:val="5B6870"/>
      <w:sz w:val="21"/>
      <w:lang w:val="zh-CN" w:eastAsia="zh-CN"/>
    </w:rPr>
  </w:style>
  <w:style w:type="paragraph" w:customStyle="1" w:styleId="ManualLead">
    <w:name w:val="Manual Lead"/>
    <w:pPr>
      <w:spacing w:before="0" w:after="180" w:line="312" w:lineRule="auto"/>
    </w:pPr>
    <w:rPr>
      <w:rFonts w:ascii="STSong" w:hAnsi="STSong" w:eastAsia="STSong" w:cs="STSong" w:hint="eastAsia"/>
      <w:b w:val="0"/>
      <w:color w:val="163A3A"/>
      <w:sz w:val="23"/>
      <w:lang w:val="zh-CN" w:eastAsia="zh-CN"/>
    </w:rPr>
  </w:style>
  <w:style w:type="paragraph" w:customStyle="1" w:styleId="ManualList">
    <w:name w:val="Manual List"/>
    <w:pPr>
      <w:widowControl/>
      <w:spacing w:before="0" w:after="80" w:line="300" w:lineRule="auto"/>
    </w:pPr>
    <w:rPr>
      <w:rFonts w:ascii="STSong" w:hAnsi="STSong" w:eastAsia="STSong" w:cs="STSong" w:hint="eastAsia"/>
      <w:color w:val="163A3A"/>
      <w:sz w:val="22"/>
      <w:lang w:val="zh-CN" w:eastAsia="zh-CN"/>
    </w:rPr>
  </w:style>
  <w:style w:type="paragraph" w:customStyle="1" w:styleId="ManualCode">
    <w:name w:val="Manual Code"/>
    <w:pPr>
      <w:keepLines/>
      <w:spacing w:before="80" w:after="160" w:line="259" w:lineRule="auto"/>
      <w:ind w:left="259" w:right="173"/>
    </w:pPr>
    <w:rPr>
      <w:rFonts w:ascii="STSong" w:hAnsi="STSong" w:eastAsia="STSong" w:cs="STSong" w:hint="eastAsia"/>
      <w:color w:val="203434"/>
      <w:sz w:val="17"/>
      <w:lang w:val="zh-CN" w:eastAsia="zh-CN"/>
    </w:rPr>
  </w:style>
  <w:style w:type="paragraph" w:customStyle="1" w:styleId="ManualCallout">
    <w:name w:val="Manual Callout"/>
    <w:pPr>
      <w:keepLines/>
      <w:spacing w:before="100" w:after="160" w:line="293" w:lineRule="auto"/>
      <w:ind w:left="259" w:right="173"/>
    </w:pPr>
    <w:rPr>
      <w:rFonts w:ascii="STSong" w:hAnsi="STSong" w:eastAsia="STSong" w:cs="STSong" w:hint="eastAsia"/>
      <w:color w:val="163A3A"/>
      <w:sz w:val="21"/>
      <w:lang w:val="zh-CN" w:eastAsia="zh-CN"/>
    </w:rPr>
  </w:style>
  <w:style w:type="paragraph" w:customStyle="1" w:styleId="ManualFigureCaption">
    <w:name w:val="Manual Figure Caption"/>
    <w:pPr>
      <w:keepLines/>
      <w:spacing w:before="80" w:after="200" w:line="269" w:lineRule="auto"/>
      <w:jc w:val="center"/>
    </w:pPr>
    <w:rPr>
      <w:rFonts w:ascii="STSong" w:hAnsi="STSong" w:eastAsia="STSong" w:cs="STSong" w:hint="eastAsia"/>
      <w:i/>
      <w:color w:val="5B6870"/>
      <w:sz w:val="18"/>
      <w:lang w:val="zh-CN" w:eastAsia="zh-CN"/>
    </w:rPr>
  </w:style>
  <w:style w:type="paragraph" w:customStyle="1" w:styleId="ManualTableText">
    <w:name w:val="Manual Table Text"/>
    <w:pPr>
      <w:spacing w:before="0" w:after="0" w:line="269" w:lineRule="auto"/>
    </w:pPr>
    <w:rPr>
      <w:rFonts w:ascii="STSong" w:hAnsi="STSong" w:eastAsia="STSong" w:cs="STSong" w:hint="eastAsia"/>
      <w:color w:val="163A3A"/>
      <w:sz w:val="18"/>
      <w:lang w:val="zh-CN" w:eastAsia="zh-CN"/>
    </w:rPr>
  </w:style>
  <w:style w:type="paragraph" w:customStyle="1" w:styleId="ManualTableHeader">
    <w:name w:val="Manual Table Header"/>
    <w:pPr>
      <w:spacing w:before="0" w:after="0" w:line="269" w:lineRule="auto"/>
    </w:pPr>
    <w:rPr>
      <w:rFonts w:ascii="STSong" w:hAnsi="STSong" w:eastAsia="STSong" w:cs="STSong" w:hint="eastAsia"/>
      <w:b/>
      <w:color w:val="115E59"/>
      <w:sz w:val="18"/>
      <w:lang w:val="zh-CN" w:eastAsia="zh-CN"/>
    </w:rPr>
  </w:style>
  <w:style w:type="paragraph" w:customStyle="1" w:styleId="ManualFooter">
    <w:name w:val="Manual Footer"/>
    <w:pPr>
      <w:spacing w:before="0" w:after="0"/>
    </w:pPr>
    <w:rPr>
      <w:rFonts w:ascii="STSong" w:hAnsi="STSong" w:eastAsia="STSong" w:cs="STSong" w:hint="eastAsia"/>
      <w:color w:val="5B6870"/>
      <w:sz w:val="17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Riff：从空白 Project 到大样本仿真结论</dc:title>
  <dc:subject>从空白 Project 到自然语言建模、可视化仿真、大样本实验和分析结论的完整使用流程</dc:subject>
  <dc:creator>Riff</dc:creator>
  <cp:keywords>Riff, Project, 仿真, 可视化, batch, 大样本, 使用说明书</cp:keywords>
  <dc:description>Preset=compact_reference_guide; Header=editorial_cover; NamedOverride=riff_teal_accent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