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00FFFF" w:val="clear"/>
          <w:lang w:eastAsia="fr-FR"/>
        </w:rPr>
        <w:t>Entreprise,</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00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00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00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00FFFF" w:val="clear"/>
          <w:lang w:eastAsia="fr-FR"/>
        </w:rPr>
        <w:t>form_1456586345410</w:t>
      </w:r>
    </w:p>
    <w:p>
      <w:pPr>
        <w:pStyle w:val="Normal"/>
        <w:tabs>
          <w:tab w:val="left" w:pos="8100"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Cs/>
          <w:sz w:val="20"/>
          <w:szCs w:val="20"/>
          <w:shd w:fill="00FFFF" w:val="clear"/>
          <w:lang w:eastAsia="fr-FR"/>
        </w:rPr>
        <w:t>form_1456586374427</w:t>
      </w:r>
      <w:r>
        <w:rPr>
          <w:rFonts w:eastAsia="Times New Roman" w:cs="Garamond" w:ascii="Garamond" w:hAnsi="Garamond"/>
          <w:b/>
          <w:sz w:val="20"/>
          <w:szCs w:val="20"/>
          <w:lang w:eastAsia="fr-FR"/>
        </w:rPr>
        <w:t xml:space="preserve"> </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00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3.1. Le présent Contrat est conclu pour une durée déterminée </w:t>
      </w:r>
      <w:r>
        <w:rPr>
          <w:rFonts w:eastAsia="Times New Roman" w:cs="Arial" w:ascii="Garamond" w:hAnsi="Garamond"/>
          <w:bCs/>
          <w:sz w:val="19"/>
          <w:szCs w:val="19"/>
          <w:shd w:fill="00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00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00FFFF" w:val="clear"/>
          <w:lang w:eastAsia="fr-FR"/>
        </w:rPr>
        <w:t>form_1456586669492</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3.2. 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3.3. La présente durée déterminée a pour motif l’exécution de la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conclue entre l’Employeur et </w:t>
      </w:r>
      <w:r>
        <w:rPr>
          <w:rFonts w:eastAsia="Times New Roman" w:cs="Garamond" w:ascii="Garamond" w:hAnsi="Garamond"/>
          <w:bCs/>
          <w:sz w:val="20"/>
          <w:szCs w:val="20"/>
          <w:shd w:fill="66FFFF" w:val="clear"/>
          <w:lang w:eastAsia="fr-FR"/>
        </w:rPr>
        <w:t xml:space="preserve">form_1456740261148 </w:t>
      </w:r>
      <w:r>
        <w:rPr>
          <w:rFonts w:eastAsia="Times New Roman" w:cs="Garamond" w:ascii="Garamond" w:hAnsi="Garamond"/>
          <w:bCs/>
          <w:sz w:val="20"/>
          <w:szCs w:val="20"/>
          <w:shd w:fill="00FFFF" w:val="clear"/>
          <w:lang w:eastAsia="fr-FR"/>
        </w:rPr>
        <w:t>form_1456586177701</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ayant pour objet </w:t>
      </w:r>
      <w:r>
        <w:rPr>
          <w:rFonts w:eastAsia="Times New Roman" w:cs="Arial" w:ascii="Garamond" w:hAnsi="Garamond"/>
          <w:bCs/>
          <w:sz w:val="19"/>
          <w:szCs w:val="19"/>
          <w:shd w:fill="00FFFF" w:val="clear"/>
          <w:lang w:eastAsia="fr-FR"/>
        </w:rPr>
        <w:t>……………………………………</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3.4. Le recrutement de l’Employé a été effectué pour les besoins de la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précitée. Ledit recrutement répond à des besoins précis et limités dans le temps qui justifient la nature temporaire de la relation de travail et ce, conformément à l’article 12 de la loi n° 90-11 du 21 avril 1990 relative aux relations de travail. De ce fait, le présent Contrat prend également fin de plein droit sans préavis ni indemnité à la fin de la convention précitée par l’arrivé à terme ou la résiliation par </w:t>
      </w:r>
      <w:r>
        <w:rPr>
          <w:rFonts w:eastAsia="Times New Roman" w:cs="Garamond" w:ascii="Garamond" w:hAnsi="Garamond"/>
          <w:bCs/>
          <w:sz w:val="20"/>
          <w:szCs w:val="20"/>
          <w:shd w:fill="66FFFF" w:val="clear"/>
          <w:lang w:eastAsia="fr-FR"/>
        </w:rPr>
        <w:t xml:space="preserve">form_1456740261148 </w:t>
      </w:r>
      <w:r>
        <w:rPr>
          <w:rFonts w:eastAsia="Times New Roman" w:cs="Garamond" w:ascii="Garamond" w:hAnsi="Garamond"/>
          <w:bCs/>
          <w:sz w:val="20"/>
          <w:szCs w:val="20"/>
          <w:shd w:fill="00FFFF" w:val="clear"/>
          <w:lang w:eastAsia="fr-FR"/>
        </w:rPr>
        <w:t>form_1456586177701</w:t>
      </w:r>
      <w:r>
        <w:rPr>
          <w:rFonts w:eastAsia="Times New Roman" w:cs="Arial" w:ascii="Garamond" w:hAnsi="Garamond"/>
          <w:bCs/>
          <w:sz w:val="19"/>
          <w:szCs w:val="19"/>
          <w:lang w:eastAsia="fr-FR"/>
        </w:rPr>
        <w:t xml:space="preserve"> ou par l’Employeur de ladite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ayant justifiée le recours au présent Contrat et ce pour quelque motif que ce soit. A ce titre la date de fin de la convention citée ci-dessus se substitue à la date de fin du présent Contrat cité à l’article 3.1.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66FFFF" w:val="clear"/>
          <w:lang w:eastAsia="fr-FR"/>
        </w:rPr>
        <w:t>form_1456587332298</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 xml:space="preserve"> 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08: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spacing w:lineRule="auto" w:line="240" w:before="0" w:after="0"/>
        <w:ind w:left="360" w:right="0" w:hanging="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10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11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auto" w:val="clear"/>
          <w:lang w:eastAsia="fr-FR"/>
        </w:rPr>
        <w:t>d’un (1) mois</w:t>
      </w:r>
      <w:r>
        <w:rPr>
          <w:rFonts w:eastAsia="Times New Roman" w:cs="Arial" w:ascii="Garamond" w:hAnsi="Garamond"/>
          <w:bCs/>
          <w:sz w:val="19"/>
          <w:szCs w:val="19"/>
          <w:lang w:eastAsia="fr-FR"/>
        </w:rPr>
        <w:t xml:space="preserve">,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13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00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character" w:styleId="ListLabel2">
    <w:name w:val="ListLabel 2"/>
    <w:rPr>
      <w:rFonts w:cs="Garamond"/>
      <w:sz w:val="19"/>
      <w:szCs w:val="19"/>
    </w:rPr>
  </w:style>
  <w:style w:type="character" w:styleId="ListLabel3">
    <w:name w:val="ListLabel 3"/>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2015-12-29T18:24:00Z</dcterms:modified>
  <cp:revision>13</cp:revision>
</cp:coreProperties>
</file>