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00FFFF" w:val="clear"/>
          <w:lang w:eastAsia="fr-FR"/>
        </w:rPr>
        <w:t>Entreprise</w:t>
      </w:r>
      <w:r>
        <w:rPr>
          <w:rFonts w:eastAsia="Times New Roman" w:cs="Garamond" w:ascii="Garamond" w:hAnsi="Garamond"/>
          <w:bCs/>
          <w:sz w:val="20"/>
          <w:szCs w:val="20"/>
          <w:shd w:fill="auto" w:val="clear"/>
          <w:lang w:eastAsia="fr-FR"/>
        </w:rPr>
        <w:t>,</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00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00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00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00FFFF" w:val="clear"/>
          <w:lang w:eastAsia="fr-FR"/>
        </w:rPr>
        <w:t>form_1456586345410</w:t>
      </w:r>
    </w:p>
    <w:p>
      <w:pPr>
        <w:pStyle w:val="Normal"/>
        <w:tabs>
          <w:tab w:val="left" w:pos="8100"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Cs/>
          <w:sz w:val="20"/>
          <w:szCs w:val="20"/>
          <w:shd w:fill="00FFFF" w:val="clear"/>
          <w:lang w:eastAsia="fr-FR"/>
        </w:rPr>
        <w:t>form_1456586374427</w:t>
      </w:r>
      <w:r>
        <w:rPr>
          <w:rFonts w:eastAsia="Times New Roman" w:cs="Garamond" w:ascii="Garamond" w:hAnsi="Garamond"/>
          <w:b/>
          <w:sz w:val="20"/>
          <w:szCs w:val="20"/>
          <w:lang w:eastAsia="fr-FR"/>
        </w:rPr>
        <w:t xml:space="preserve"> </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00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conclu pour une durée déterminée de </w:t>
      </w:r>
      <w:r>
        <w:rPr>
          <w:rFonts w:eastAsia="Times New Roman" w:cs="Arial" w:ascii="Garamond" w:hAnsi="Garamond"/>
          <w:bCs/>
          <w:sz w:val="19"/>
          <w:szCs w:val="19"/>
          <w:shd w:fill="00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00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00FFFF" w:val="clear"/>
          <w:lang w:eastAsia="fr-FR"/>
        </w:rPr>
        <w:t>form_1456586669492</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présente durée déterminée a pour motif un surcroit de travail lié à </w:t>
      </w:r>
      <w:r>
        <w:rPr>
          <w:rFonts w:eastAsia="Times New Roman" w:cs="Arial" w:ascii="Garamond" w:hAnsi="Garamond"/>
          <w:bCs/>
          <w:sz w:val="19"/>
          <w:szCs w:val="19"/>
          <w:shd w:fill="66FFFF" w:val="clear"/>
          <w:lang w:eastAsia="fr-FR"/>
        </w:rPr>
        <w:t>form_1456660051527</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05 : PERIODE D’ESSAI</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est soumis à une période d’essai  effective de </w:t>
      </w:r>
      <w:r>
        <w:rPr>
          <w:rFonts w:eastAsia="Times New Roman" w:cs="Arial" w:ascii="Garamond" w:hAnsi="Garamond"/>
          <w:bCs/>
          <w:sz w:val="19"/>
          <w:szCs w:val="19"/>
          <w:shd w:fill="00FFFF" w:val="clear"/>
          <w:lang w:eastAsia="fr-FR"/>
        </w:rPr>
        <w:t>six (06)</w:t>
      </w:r>
      <w:r>
        <w:rPr>
          <w:rFonts w:eastAsia="Times New Roman" w:cs="Arial" w:ascii="Garamond" w:hAnsi="Garamond"/>
          <w:bCs/>
          <w:sz w:val="19"/>
          <w:szCs w:val="19"/>
          <w:lang w:eastAsia="fr-FR"/>
        </w:rPr>
        <w:t xml:space="preserve"> mois à compter de la date de début de la relation de travail, objet du présent contrat. Cette période d’essai initiale peut être renouvelée pour une période </w:t>
      </w:r>
      <w:r>
        <w:rPr>
          <w:rFonts w:eastAsia="Times New Roman" w:cs="Arial" w:ascii="Garamond" w:hAnsi="Garamond"/>
          <w:bCs/>
          <w:sz w:val="19"/>
          <w:szCs w:val="19"/>
          <w:shd w:fill="00FFFF" w:val="clear"/>
          <w:lang w:eastAsia="fr-FR"/>
        </w:rPr>
        <w:t>d’un (1) mois</w:t>
      </w:r>
      <w:r>
        <w:rPr>
          <w:rFonts w:eastAsia="Times New Roman" w:cs="Arial" w:ascii="Garamond" w:hAnsi="Garamond"/>
          <w:bCs/>
          <w:sz w:val="19"/>
          <w:szCs w:val="19"/>
          <w:lang w:eastAsia="fr-FR"/>
        </w:rPr>
        <w:t>.</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période d’essai initiale et/ou renouvelée est suspendue en cas de survenance d’un cas de suspension de la relation de travail et reprendra pour la durée restante après la reprise de la relation de travail et en contrat à durée déterminée.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DA)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xml:space="preserve"> DA),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Paragraphedeliste"/>
        <w:ind w:left="0" w:right="0" w:hanging="0"/>
        <w:rPr>
          <w:rFonts w:cs="Arial" w:ascii="Garamond" w:hAnsi="Garamond"/>
          <w:b/>
          <w:bCs/>
          <w:sz w:val="18"/>
          <w:szCs w:val="18"/>
        </w:rPr>
      </w:pPr>
      <w:r>
        <w:rPr>
          <w:rFonts w:cs="Arial" w:ascii="Garamond" w:hAnsi="Garamond"/>
          <w:b/>
          <w:bCs/>
          <w:sz w:val="18"/>
          <w:szCs w:val="18"/>
        </w:rPr>
        <w:t>ARTICLE 08 : MISE A DISPOSITION D'UN VEHICULE DE SERVICE</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met à la disposition de l’Employé, pour l’exercice exclusif de ses fonctions professionnelles, un véhicule de service.</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s’engage à user dudit véhicule et le conserver avec tout le soin d’un bon père de famille.</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répond des contraventions liées aux infractions du code de la route ainsi que les dégradation et pertes subies et qui ne sont pas le résultat d’un usage normal du bien.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cas d'accident, l’Employé devra prévenir immédiatement l’Employeur et prévenir la compagnie d'assurances dans les vingt-quatre heures (24H). A défaut de déclaration l’Employé supportera l’ensemble du préjudice subi à l’Employeur.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A la fin du présent Contrat et pour quelques motifs que ce soit, l’Employé est tenu de restituer ledit véhicule à l’Employeur sans délai.            A défaut, et nonobstant les poursuites judiciaires qui peuvent en résulter, l’Employé sera redevable envers l’Employeur d’une compensation financière, comme dédommagement provisoire, égale à </w:t>
      </w:r>
      <w:r>
        <w:rPr>
          <w:rFonts w:eastAsia="Times New Roman" w:cs="Arial" w:ascii="Garamond" w:hAnsi="Garamond"/>
          <w:bCs/>
          <w:sz w:val="19"/>
          <w:szCs w:val="19"/>
          <w:shd w:fill="00FFFF" w:val="clear"/>
          <w:lang w:eastAsia="fr-FR"/>
        </w:rPr>
        <w:t>form_1456587854857</w:t>
      </w:r>
      <w:r>
        <w:rPr>
          <w:rFonts w:eastAsia="Times New Roman" w:cs="Arial" w:ascii="Garamond" w:hAnsi="Garamond"/>
          <w:bCs/>
          <w:sz w:val="19"/>
          <w:szCs w:val="19"/>
          <w:lang w:eastAsia="fr-FR"/>
        </w:rPr>
        <w:t xml:space="preserve"> DA par jour de retard.</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10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faire un inventaire journalier de la marchandise mise sous sa garde et sous sa responsabilité par l’Employeur dans le cadre de ses fonctions.  </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11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00FFFF"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13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15: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00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2015-12-29T18:42:00Z</dcterms:modified>
  <cp:revision>13</cp:revision>
</cp:coreProperties>
</file>