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맑은 고딕" w:hAnsi="맑은 고딕" w:eastAsia="맑은 고딕"/>
          <w:b/>
          <w:sz w:val="36"/>
        </w:rPr>
        <w:t>프레스코21 인사규정 현행·개정 대조표</w:t>
      </w:r>
    </w:p>
    <w:p>
      <w:pPr>
        <w:spacing w:line="336" w:lineRule="auto"/>
      </w:pPr>
      <w:r>
        <w:rPr>
          <w:rFonts w:ascii="맑은 고딕" w:hAnsi="맑은 고딕" w:eastAsia="맑은 고딕"/>
          <w:sz w:val="22"/>
        </w:rPr>
        <w:t>작성일: 2026년 4월 15일</w:t>
      </w:r>
    </w:p>
    <w:p>
      <w:pPr>
        <w:spacing w:line="336" w:lineRule="auto"/>
      </w:pPr>
      <w:r>
        <w:rPr>
          <w:rFonts w:ascii="맑은 고딕" w:hAnsi="맑은 고딕" w:eastAsia="맑은 고딕"/>
          <w:sz w:val="22"/>
        </w:rPr>
        <w:t>작성자: 프레스코21 경영기획 팀장 장지호</w:t>
      </w:r>
    </w:p>
    <w:p>
      <w:pPr>
        <w:spacing w:line="336" w:lineRule="auto"/>
      </w:pPr>
      <w:r>
        <w:rPr>
          <w:rFonts w:ascii="맑은 고딕" w:hAnsi="맑은 고딕" w:eastAsia="맑은 고딕"/>
          <w:sz w:val="22"/>
        </w:rPr>
        <w:t>근거 법령: 근로기준법 제52조·제58조 (2025.10.23 시행)</w:t>
      </w:r>
    </w:p>
    <w:p/>
    <w:p>
      <w:pPr>
        <w:spacing w:before="240" w:after="120"/>
      </w:pPr>
      <w:r>
        <w:rPr>
          <w:rFonts w:ascii="맑은 고딕" w:hAnsi="맑은 고딕" w:eastAsia="맑은 고딕"/>
          <w:b/>
          <w:sz w:val="28"/>
        </w:rPr>
        <w:t>1. 개정 요지</w:t>
      </w:r>
    </w:p>
    <w:p>
      <w:pPr>
        <w:spacing w:line="336" w:lineRule="auto"/>
      </w:pPr>
      <w:r>
        <w:rPr>
          <w:rFonts w:ascii="맑은 고딕" w:hAnsi="맑은 고딕" w:eastAsia="맑은 고딕"/>
          <w:sz w:val="22"/>
        </w:rPr>
        <w:t>2024년 3월 10일 제정된 현행 인사규정에 다음 사항을 신설하여 근로기준법 제93조의 취업규칙 필수 기재 사항을 보완하고, 유연근로시간제 및 모성보호·일·가정 양립 제도의 법적 근거를 확보합니다.</w:t>
      </w:r>
    </w:p>
    <w:p>
      <w:pPr>
        <w:spacing w:line="336" w:lineRule="auto"/>
      </w:pPr>
      <w:r>
        <w:rPr>
          <w:rFonts w:ascii="맑은 고딕" w:hAnsi="맑은 고딕" w:eastAsia="맑은 고딕"/>
          <w:sz w:val="22"/>
        </w:rPr>
        <w:t>각 조항은 "법적 의무 수준 + 가족친화인증 등 정부 지원 신청 최소 요건"에 맞춘 최소안으로 작성되었으며, 회사에 추가 부담이 생기는 세부 규정은 의도적으로 포함하지 않았습니다. 세부 운영은 개별 근로계약서 및 관계 법령에 위임합니다.</w:t>
      </w:r>
    </w:p>
    <w:p>
      <w:pPr>
        <w:spacing w:line="336" w:lineRule="auto"/>
      </w:pPr>
      <w:r>
        <w:rPr>
          <w:rFonts w:ascii="맑은 고딕" w:hAnsi="맑은 고딕" w:eastAsia="맑은 고딕"/>
          <w:sz w:val="22"/>
        </w:rPr>
        <w:t>① 임금 지급 조항 신설 — 임금명세서 교부 의무 명문화 (근로기준법 제48조)</w:t>
      </w:r>
    </w:p>
    <w:p>
      <w:pPr>
        <w:spacing w:line="336" w:lineRule="auto"/>
      </w:pPr>
      <w:r>
        <w:rPr>
          <w:rFonts w:ascii="맑은 고딕" w:hAnsi="맑은 고딕" w:eastAsia="맑은 고딕"/>
          <w:sz w:val="22"/>
        </w:rPr>
        <w:t>② 퇴직급여 조항 신설 — 관계 법령에 따른 퇴직급여 지급 명시</w:t>
      </w:r>
    </w:p>
    <w:p>
      <w:pPr>
        <w:spacing w:line="336" w:lineRule="auto"/>
      </w:pPr>
      <w:r>
        <w:rPr>
          <w:rFonts w:ascii="맑은 고딕" w:hAnsi="맑은 고딕" w:eastAsia="맑은 고딕"/>
          <w:sz w:val="22"/>
        </w:rPr>
        <w:t>③ 선택적 근로시간제 조항 신설 — 사무실 근무자 대상 (근로기준법 제52조)</w:t>
      </w:r>
    </w:p>
    <w:p>
      <w:pPr>
        <w:spacing w:line="336" w:lineRule="auto"/>
      </w:pPr>
      <w:r>
        <w:rPr>
          <w:rFonts w:ascii="맑은 고딕" w:hAnsi="맑은 고딕" w:eastAsia="맑은 고딕"/>
          <w:sz w:val="22"/>
        </w:rPr>
        <w:t>④ 재량근로시간제 조항 신설 — 재택 디자인·영상 제작 업무 대상 (근로기준법 제58조 제3항)</w:t>
      </w:r>
    </w:p>
    <w:p>
      <w:pPr>
        <w:spacing w:line="336" w:lineRule="auto"/>
      </w:pPr>
      <w:r>
        <w:rPr>
          <w:rFonts w:ascii="맑은 고딕" w:hAnsi="맑은 고딕" w:eastAsia="맑은 고딕"/>
          <w:sz w:val="22"/>
        </w:rPr>
        <w:t>⑤ 모성보호 및 일·가정 양립 장(章) 신설 — 제6조의2~제6조의12, 11개 조항 일괄 신설 (출산전후휴가, 임산부 보호, 배우자 출산휴가, 난임치료휴가, 육아휴직, 육아기 근로시간 단축, 가족돌봄 등)</w:t>
      </w:r>
    </w:p>
    <w:p>
      <w:pPr>
        <w:spacing w:line="336" w:lineRule="auto"/>
      </w:pPr>
      <w:r>
        <w:rPr>
          <w:rFonts w:ascii="맑은 고딕" w:hAnsi="맑은 고딕" w:eastAsia="맑은 고딕"/>
          <w:sz w:val="22"/>
        </w:rPr>
        <w:t>⑥ 직장질서 및 차별 금지 장(章) 신설 — 제6조의13~제6조의15 (직장 내 괴롭힘 금지, 안전·보건, 차별 금지)</w:t>
      </w:r>
    </w:p>
    <w:p>
      <w:pPr>
        <w:spacing w:line="336" w:lineRule="auto"/>
      </w:pPr>
      <w:r>
        <w:rPr>
          <w:rFonts w:ascii="맑은 고딕" w:hAnsi="맑은 고딕" w:eastAsia="맑은 고딕"/>
          <w:sz w:val="22"/>
        </w:rPr>
        <w:t>⑦ 근로자대표 선임 및 운영 조항 신설 — 서면합의 당사자 근거</w:t>
      </w:r>
    </w:p>
    <w:p/>
    <w:p>
      <w:pPr>
        <w:spacing w:before="240" w:after="120"/>
      </w:pPr>
      <w:r>
        <w:rPr>
          <w:rFonts w:ascii="맑은 고딕" w:hAnsi="맑은 고딕" w:eastAsia="맑은 고딕"/>
          <w:b/>
          <w:sz w:val="28"/>
        </w:rPr>
        <w:t>2. 조항별 대조표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17"/>
          </w:tcPr>
          <w:p>
            <w:r>
              <w:rPr>
                <w:rFonts w:ascii="맑은 고딕" w:hAnsi="맑은 고딕" w:eastAsia="맑은 고딕"/>
                <w:b/>
              </w:rPr>
              <w:t>구분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/>
              </w:rPr>
              <w:t>현행 (2024.03.10)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/>
              </w:rPr>
              <w:t>개정안 (2026)</w:t>
            </w:r>
          </w:p>
        </w:tc>
        <w:tc>
          <w:tcPr>
            <w:tcW w:type="dxa" w:w="2551"/>
          </w:tcPr>
          <w:p>
            <w:r>
              <w:rPr>
                <w:rFonts w:ascii="맑은 고딕" w:hAnsi="맑은 고딕" w:eastAsia="맑은 고딕"/>
                <w:b/>
              </w:rPr>
              <w:t>개정 사유</w:t>
            </w:r>
          </w:p>
        </w:tc>
      </w:tr>
      <w:tr>
        <w:tc>
          <w:tcPr>
            <w:tcW w:type="dxa" w:w="1417"/>
          </w:tcPr>
          <w:p>
            <w:r>
              <w:rPr>
                <w:rFonts w:ascii="맑은 고딕" w:hAnsi="맑은 고딕" w:eastAsia="맑은 고딕"/>
                <w:sz w:val="20"/>
              </w:rPr>
              <w:t>제3조의2</w:t>
              <w:br/>
              <w:t>(신설)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sz w:val="20"/>
              </w:rPr>
              <w:t>(없음)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sz w:val="20"/>
              </w:rPr>
              <w:t>임금 지급 — 통화·직접·전액·매월 지급 원칙 + 임금명세서 교부 의무</w:t>
            </w:r>
          </w:p>
        </w:tc>
        <w:tc>
          <w:tcPr>
            <w:tcW w:type="dxa" w:w="2551"/>
          </w:tcPr>
          <w:p>
            <w:r>
              <w:rPr>
                <w:rFonts w:ascii="맑은 고딕" w:hAnsi="맑은 고딕" w:eastAsia="맑은 고딕"/>
                <w:sz w:val="20"/>
              </w:rPr>
              <w:t>근기법 §48 (2021.11 의무화) + 근기법 §93 제2호 필수 기재</w:t>
            </w:r>
          </w:p>
        </w:tc>
      </w:tr>
      <w:tr>
        <w:tc>
          <w:tcPr>
            <w:tcW w:type="dxa" w:w="1417"/>
          </w:tcPr>
          <w:p>
            <w:r>
              <w:rPr>
                <w:rFonts w:ascii="맑은 고딕" w:hAnsi="맑은 고딕" w:eastAsia="맑은 고딕"/>
                <w:sz w:val="20"/>
              </w:rPr>
              <w:t>제3조의3</w:t>
              <w:br/>
              <w:t>(신설)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sz w:val="20"/>
              </w:rPr>
              <w:t>(없음)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sz w:val="20"/>
              </w:rPr>
              <w:t>퇴직급여 — 관계 법령에 따라 지급</w:t>
            </w:r>
          </w:p>
        </w:tc>
        <w:tc>
          <w:tcPr>
            <w:tcW w:type="dxa" w:w="2551"/>
          </w:tcPr>
          <w:p>
            <w:r>
              <w:rPr>
                <w:rFonts w:ascii="맑은 고딕" w:hAnsi="맑은 고딕" w:eastAsia="맑은 고딕"/>
                <w:sz w:val="20"/>
              </w:rPr>
              <w:t>근기법 §93 제5호 필수 기재</w:t>
            </w:r>
          </w:p>
        </w:tc>
      </w:tr>
      <w:tr>
        <w:tc>
          <w:tcPr>
            <w:tcW w:type="dxa" w:w="1417"/>
          </w:tcPr>
          <w:p>
            <w:r>
              <w:rPr>
                <w:rFonts w:ascii="맑은 고딕" w:hAnsi="맑은 고딕" w:eastAsia="맑은 고딕"/>
                <w:sz w:val="20"/>
              </w:rPr>
              <w:t>제4조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sz w:val="20"/>
              </w:rPr>
              <w:t>1일 8시간 / 1주 40시간, 시차·재택·사무실 3형태 규정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sz w:val="20"/>
              </w:rPr>
              <w:t>현행 유지 + 5항 신설 (제4조의2·제4조의3 특례 참조)</w:t>
            </w:r>
          </w:p>
        </w:tc>
        <w:tc>
          <w:tcPr>
            <w:tcW w:type="dxa" w:w="2551"/>
          </w:tcPr>
          <w:p>
            <w:r>
              <w:rPr>
                <w:rFonts w:ascii="맑은 고딕" w:hAnsi="맑은 고딕" w:eastAsia="맑은 고딕"/>
                <w:sz w:val="20"/>
              </w:rPr>
              <w:t>후속 신설 조항과 연결</w:t>
            </w:r>
          </w:p>
        </w:tc>
      </w:tr>
      <w:tr>
        <w:tc>
          <w:tcPr>
            <w:tcW w:type="dxa" w:w="1417"/>
          </w:tcPr>
          <w:p>
            <w:r>
              <w:rPr>
                <w:rFonts w:ascii="맑은 고딕" w:hAnsi="맑은 고딕" w:eastAsia="맑은 고딕"/>
                <w:sz w:val="20"/>
              </w:rPr>
              <w:t>제4조의2</w:t>
              <w:br/>
              <w:t>(신설)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sz w:val="20"/>
              </w:rPr>
              <w:t>(없음)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sz w:val="20"/>
              </w:rPr>
              <w:t>선택적 근로시간제 조항 신설</w:t>
            </w:r>
          </w:p>
        </w:tc>
        <w:tc>
          <w:tcPr>
            <w:tcW w:type="dxa" w:w="2551"/>
          </w:tcPr>
          <w:p>
            <w:r>
              <w:rPr>
                <w:rFonts w:ascii="맑은 고딕" w:hAnsi="맑은 고딕" w:eastAsia="맑은 고딕"/>
                <w:sz w:val="20"/>
              </w:rPr>
              <w:t>사무실 근무자의 유연근무 도입. 근기법 제52조 제1항이 요구하는 "취업규칙의 근거" 요건 충족 목적</w:t>
            </w:r>
          </w:p>
        </w:tc>
      </w:tr>
      <w:tr>
        <w:tc>
          <w:tcPr>
            <w:tcW w:type="dxa" w:w="1417"/>
          </w:tcPr>
          <w:p>
            <w:r>
              <w:rPr>
                <w:rFonts w:ascii="맑은 고딕" w:hAnsi="맑은 고딕" w:eastAsia="맑은 고딕"/>
                <w:sz w:val="20"/>
              </w:rPr>
              <w:t>제4조의3</w:t>
              <w:br/>
              <w:t>(신설)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sz w:val="20"/>
              </w:rPr>
              <w:t>(없음)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sz w:val="20"/>
              </w:rPr>
              <w:t>재량근로시간제 조항 신설</w:t>
            </w:r>
          </w:p>
        </w:tc>
        <w:tc>
          <w:tcPr>
            <w:tcW w:type="dxa" w:w="2551"/>
          </w:tcPr>
          <w:p>
            <w:r>
              <w:rPr>
                <w:rFonts w:ascii="맑은 고딕" w:hAnsi="맑은 고딕" w:eastAsia="맑은 고딕"/>
                <w:sz w:val="20"/>
              </w:rPr>
              <w:t>재택 디자인·영상 제작 업무에 대한 근기법 시행령 제31조 제4호·제5호 기반 제도 도입</w:t>
            </w:r>
          </w:p>
        </w:tc>
      </w:tr>
      <w:tr>
        <w:tc>
          <w:tcPr>
            <w:tcW w:type="dxa" w:w="1417"/>
          </w:tcPr>
          <w:p>
            <w:r>
              <w:rPr>
                <w:rFonts w:ascii="맑은 고딕" w:hAnsi="맑은 고딕" w:eastAsia="맑은 고딕"/>
                <w:sz w:val="20"/>
              </w:rPr>
              <w:t>제5조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sz w:val="20"/>
              </w:rPr>
              <w:t>포괄임금제 적용 조항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sz w:val="20"/>
              </w:rPr>
              <w:t>현행 유지 + 5항 신설 (선택근로제와 병존 가능 명시)</w:t>
            </w:r>
          </w:p>
        </w:tc>
        <w:tc>
          <w:tcPr>
            <w:tcW w:type="dxa" w:w="2551"/>
          </w:tcPr>
          <w:p>
            <w:r>
              <w:rPr>
                <w:rFonts w:ascii="맑은 고딕" w:hAnsi="맑은 고딕" w:eastAsia="맑은 고딕"/>
                <w:sz w:val="20"/>
              </w:rPr>
              <w:t>포괄임금 + 선택근로 병존 법적 근거</w:t>
            </w:r>
          </w:p>
        </w:tc>
      </w:tr>
      <w:tr>
        <w:tc>
          <w:tcPr>
            <w:tcW w:type="dxa" w:w="1417"/>
          </w:tcPr>
          <w:p>
            <w:r>
              <w:rPr>
                <w:rFonts w:ascii="맑은 고딕" w:hAnsi="맑은 고딕" w:eastAsia="맑은 고딕"/>
                <w:sz w:val="20"/>
              </w:rPr>
              <w:t>제3장의2</w:t>
              <w:br/>
              <w:t>(장 신설)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sz w:val="20"/>
              </w:rPr>
              <w:t>(없음)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sz w:val="20"/>
              </w:rPr>
              <w:t>모성보호 및 일·가정 양립 장 신설</w:t>
              <w:br/>
              <w:t>(제6조의2 ~ 제6조의12, 11개 조항)</w:t>
            </w:r>
          </w:p>
        </w:tc>
        <w:tc>
          <w:tcPr>
            <w:tcW w:type="dxa" w:w="2551"/>
          </w:tcPr>
          <w:p>
            <w:r>
              <w:rPr>
                <w:rFonts w:ascii="맑은 고딕" w:hAnsi="맑은 고딕" w:eastAsia="맑은 고딕"/>
                <w:sz w:val="20"/>
              </w:rPr>
              <w:t>모성보호 법적 의무 명문화 + 가족친화인증·사업주 지원금 신청 자격 확보</w:t>
            </w:r>
          </w:p>
        </w:tc>
      </w:tr>
      <w:tr>
        <w:tc>
          <w:tcPr>
            <w:tcW w:type="dxa" w:w="1417"/>
          </w:tcPr>
          <w:p>
            <w:r>
              <w:rPr>
                <w:rFonts w:ascii="맑은 고딕" w:hAnsi="맑은 고딕" w:eastAsia="맑은 고딕"/>
                <w:sz w:val="20"/>
              </w:rPr>
              <w:t>제6조의2</w:t>
              <w:br/>
              <w:t>(신설)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sz w:val="20"/>
              </w:rPr>
              <w:t>(없음)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sz w:val="20"/>
              </w:rPr>
              <w:t>출산전후휴가 (90/100/120일)</w:t>
            </w:r>
          </w:p>
        </w:tc>
        <w:tc>
          <w:tcPr>
            <w:tcW w:type="dxa" w:w="2551"/>
          </w:tcPr>
          <w:p>
            <w:r>
              <w:rPr>
                <w:rFonts w:ascii="맑은 고딕" w:hAnsi="맑은 고딕" w:eastAsia="맑은 고딕"/>
                <w:sz w:val="20"/>
              </w:rPr>
              <w:t>근기법 제74조 ① 명문화</w:t>
            </w:r>
          </w:p>
        </w:tc>
      </w:tr>
      <w:tr>
        <w:tc>
          <w:tcPr>
            <w:tcW w:type="dxa" w:w="1417"/>
          </w:tcPr>
          <w:p>
            <w:r>
              <w:rPr>
                <w:rFonts w:ascii="맑은 고딕" w:hAnsi="맑은 고딕" w:eastAsia="맑은 고딕"/>
                <w:sz w:val="20"/>
              </w:rPr>
              <w:t>제6조의3~5</w:t>
              <w:br/>
              <w:t>(신설)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sz w:val="20"/>
              </w:rPr>
              <w:t>(없음)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sz w:val="20"/>
              </w:rPr>
              <w:t>유사산휴가, 임산부 보호, 태아검진·수유시간</w:t>
            </w:r>
          </w:p>
        </w:tc>
        <w:tc>
          <w:tcPr>
            <w:tcW w:type="dxa" w:w="2551"/>
          </w:tcPr>
          <w:p>
            <w:r>
              <w:rPr>
                <w:rFonts w:ascii="맑은 고딕" w:hAnsi="맑은 고딕" w:eastAsia="맑은 고딕"/>
                <w:sz w:val="20"/>
              </w:rPr>
              <w:t>근기법 제74조 ②③⑤⑦⑨ 명문화</w:t>
            </w:r>
          </w:p>
        </w:tc>
      </w:tr>
      <w:tr>
        <w:tc>
          <w:tcPr>
            <w:tcW w:type="dxa" w:w="1417"/>
          </w:tcPr>
          <w:p>
            <w:r>
              <w:rPr>
                <w:rFonts w:ascii="맑은 고딕" w:hAnsi="맑은 고딕" w:eastAsia="맑은 고딕"/>
                <w:sz w:val="20"/>
              </w:rPr>
              <w:t>제6조의6</w:t>
              <w:br/>
              <w:t>(신설)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sz w:val="20"/>
              </w:rPr>
              <w:t>(없음)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sz w:val="20"/>
              </w:rPr>
              <w:t>배우자 출산휴가 (20일 유급)</w:t>
            </w:r>
          </w:p>
        </w:tc>
        <w:tc>
          <w:tcPr>
            <w:tcW w:type="dxa" w:w="2551"/>
          </w:tcPr>
          <w:p>
            <w:r>
              <w:rPr>
                <w:rFonts w:ascii="맑은 고딕" w:hAnsi="맑은 고딕" w:eastAsia="맑은 고딕"/>
                <w:sz w:val="20"/>
              </w:rPr>
              <w:t>남녀고용평등법 제18조의2 (2025.10.01 개정 반영)</w:t>
            </w:r>
          </w:p>
        </w:tc>
      </w:tr>
      <w:tr>
        <w:tc>
          <w:tcPr>
            <w:tcW w:type="dxa" w:w="1417"/>
          </w:tcPr>
          <w:p>
            <w:r>
              <w:rPr>
                <w:rFonts w:ascii="맑은 고딕" w:hAnsi="맑은 고딕" w:eastAsia="맑은 고딕"/>
                <w:sz w:val="20"/>
              </w:rPr>
              <w:t>제6조의7</w:t>
              <w:br/>
              <w:t>(신설)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sz w:val="20"/>
              </w:rPr>
              <w:t>(없음)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sz w:val="20"/>
              </w:rPr>
              <w:t>난임치료휴가 (연 6일, 최초 2일 유급)</w:t>
            </w:r>
          </w:p>
        </w:tc>
        <w:tc>
          <w:tcPr>
            <w:tcW w:type="dxa" w:w="2551"/>
          </w:tcPr>
          <w:p>
            <w:r>
              <w:rPr>
                <w:rFonts w:ascii="맑은 고딕" w:hAnsi="맑은 고딕" w:eastAsia="맑은 고딕"/>
                <w:sz w:val="20"/>
              </w:rPr>
              <w:t>남녀고용평등법 제18조의3 (2025.10.01 개정 반영)</w:t>
            </w:r>
          </w:p>
        </w:tc>
      </w:tr>
      <w:tr>
        <w:tc>
          <w:tcPr>
            <w:tcW w:type="dxa" w:w="1417"/>
          </w:tcPr>
          <w:p>
            <w:r>
              <w:rPr>
                <w:rFonts w:ascii="맑은 고딕" w:hAnsi="맑은 고딕" w:eastAsia="맑은 고딕"/>
                <w:sz w:val="20"/>
              </w:rPr>
              <w:t>제6조의8</w:t>
              <w:br/>
              <w:t>(신설)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sz w:val="20"/>
              </w:rPr>
              <w:t>(없음)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sz w:val="20"/>
              </w:rPr>
              <w:t>육아휴직 (만 8세 이하 또는 초2 이하, 1년)</w:t>
            </w:r>
          </w:p>
        </w:tc>
        <w:tc>
          <w:tcPr>
            <w:tcW w:type="dxa" w:w="2551"/>
          </w:tcPr>
          <w:p>
            <w:r>
              <w:rPr>
                <w:rFonts w:ascii="맑은 고딕" w:hAnsi="맑은 고딕" w:eastAsia="맑은 고딕"/>
                <w:sz w:val="20"/>
              </w:rPr>
              <w:t>남녀고용평등법 제19조 (2025.10.01 대상 확대)</w:t>
            </w:r>
          </w:p>
        </w:tc>
      </w:tr>
      <w:tr>
        <w:tc>
          <w:tcPr>
            <w:tcW w:type="dxa" w:w="1417"/>
          </w:tcPr>
          <w:p>
            <w:r>
              <w:rPr>
                <w:rFonts w:ascii="맑은 고딕" w:hAnsi="맑은 고딕" w:eastAsia="맑은 고딕"/>
                <w:sz w:val="20"/>
              </w:rPr>
              <w:t>제6조의9</w:t>
              <w:br/>
              <w:t>(신설)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sz w:val="20"/>
              </w:rPr>
              <w:t>(없음)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sz w:val="20"/>
              </w:rPr>
              <w:t>육아기 근로시간 단축 (만 12세 이하 또는 초6 이하)</w:t>
            </w:r>
          </w:p>
        </w:tc>
        <w:tc>
          <w:tcPr>
            <w:tcW w:type="dxa" w:w="2551"/>
          </w:tcPr>
          <w:p>
            <w:r>
              <w:rPr>
                <w:rFonts w:ascii="맑은 고딕" w:hAnsi="맑은 고딕" w:eastAsia="맑은 고딕"/>
                <w:sz w:val="20"/>
              </w:rPr>
              <w:t>남녀고용평등법 제19조의2 (2025.10.01 대상 확대)</w:t>
            </w:r>
          </w:p>
        </w:tc>
      </w:tr>
      <w:tr>
        <w:tc>
          <w:tcPr>
            <w:tcW w:type="dxa" w:w="1417"/>
          </w:tcPr>
          <w:p>
            <w:r>
              <w:rPr>
                <w:rFonts w:ascii="맑은 고딕" w:hAnsi="맑은 고딕" w:eastAsia="맑은 고딕"/>
                <w:sz w:val="20"/>
              </w:rPr>
              <w:t>제6조의10</w:t>
              <w:br/>
              <w:t>(신설)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sz w:val="20"/>
              </w:rPr>
              <w:t>(없음)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sz w:val="20"/>
              </w:rPr>
              <w:t>가족돌봄휴직 (연 90일) / 가족돌봄휴가 (연 10일)</w:t>
            </w:r>
          </w:p>
        </w:tc>
        <w:tc>
          <w:tcPr>
            <w:tcW w:type="dxa" w:w="2551"/>
          </w:tcPr>
          <w:p>
            <w:r>
              <w:rPr>
                <w:rFonts w:ascii="맑은 고딕" w:hAnsi="맑은 고딕" w:eastAsia="맑은 고딕"/>
                <w:sz w:val="20"/>
              </w:rPr>
              <w:t>남녀고용평등법 제22조의2</w:t>
            </w:r>
          </w:p>
        </w:tc>
      </w:tr>
      <w:tr>
        <w:tc>
          <w:tcPr>
            <w:tcW w:type="dxa" w:w="1417"/>
          </w:tcPr>
          <w:p>
            <w:r>
              <w:rPr>
                <w:rFonts w:ascii="맑은 고딕" w:hAnsi="맑은 고딕" w:eastAsia="맑은 고딕"/>
                <w:sz w:val="20"/>
              </w:rPr>
              <w:t>제6조의11~12</w:t>
              <w:br/>
              <w:t>(신설)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sz w:val="20"/>
              </w:rPr>
              <w:t>(없음)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sz w:val="20"/>
              </w:rPr>
              <w:t>차별 금지 + 신청 절차 + 사업주 지원금 안내</w:t>
            </w:r>
          </w:p>
        </w:tc>
        <w:tc>
          <w:tcPr>
            <w:tcW w:type="dxa" w:w="2551"/>
          </w:tcPr>
          <w:p>
            <w:r>
              <w:rPr>
                <w:rFonts w:ascii="맑은 고딕" w:hAnsi="맑은 고딕" w:eastAsia="맑은 고딕"/>
                <w:sz w:val="20"/>
              </w:rPr>
              <w:t>운영 안정화 + 지원금 수급 기반</w:t>
            </w:r>
          </w:p>
        </w:tc>
      </w:tr>
      <w:tr>
        <w:tc>
          <w:tcPr>
            <w:tcW w:type="dxa" w:w="1417"/>
          </w:tcPr>
          <w:p>
            <w:r>
              <w:rPr>
                <w:rFonts w:ascii="맑은 고딕" w:hAnsi="맑은 고딕" w:eastAsia="맑은 고딕"/>
                <w:sz w:val="20"/>
              </w:rPr>
              <w:t>제3장의3</w:t>
              <w:br/>
              <w:t>(장 신설)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sz w:val="20"/>
              </w:rPr>
              <w:t>(없음)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sz w:val="20"/>
              </w:rPr>
              <w:t>직장질서 및 차별 금지 장 신설</w:t>
              <w:br/>
              <w:t>(제6조의13~제6조의15)</w:t>
            </w:r>
          </w:p>
        </w:tc>
        <w:tc>
          <w:tcPr>
            <w:tcW w:type="dxa" w:w="2551"/>
          </w:tcPr>
          <w:p>
            <w:r>
              <w:rPr>
                <w:rFonts w:ascii="맑은 고딕" w:hAnsi="맑은 고딕" w:eastAsia="맑은 고딕"/>
                <w:sz w:val="20"/>
              </w:rPr>
              <w:t>근기법 §93 제9호·9의2호·11호 필수 기재 (직장 내 괴롭힘·안전보건·차별 금지)</w:t>
            </w:r>
          </w:p>
        </w:tc>
      </w:tr>
      <w:tr>
        <w:tc>
          <w:tcPr>
            <w:tcW w:type="dxa" w:w="1417"/>
          </w:tcPr>
          <w:p>
            <w:r>
              <w:rPr>
                <w:rFonts w:ascii="맑은 고딕" w:hAnsi="맑은 고딕" w:eastAsia="맑은 고딕"/>
                <w:sz w:val="20"/>
              </w:rPr>
              <w:t>제6조의13</w:t>
              <w:br/>
              <w:t>(신설)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sz w:val="20"/>
              </w:rPr>
              <w:t>(없음)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sz w:val="20"/>
              </w:rPr>
              <w:t>직장 내 괴롭힘의 금지 및 대응</w:t>
            </w:r>
          </w:p>
        </w:tc>
        <w:tc>
          <w:tcPr>
            <w:tcW w:type="dxa" w:w="2551"/>
          </w:tcPr>
          <w:p>
            <w:r>
              <w:rPr>
                <w:rFonts w:ascii="맑은 고딕" w:hAnsi="맑은 고딕" w:eastAsia="맑은 고딕"/>
                <w:sz w:val="20"/>
              </w:rPr>
              <w:t>근기법 §76의2·§76의3 (2019.07 시행 의무)</w:t>
            </w:r>
          </w:p>
        </w:tc>
      </w:tr>
      <w:tr>
        <w:tc>
          <w:tcPr>
            <w:tcW w:type="dxa" w:w="1417"/>
          </w:tcPr>
          <w:p>
            <w:r>
              <w:rPr>
                <w:rFonts w:ascii="맑은 고딕" w:hAnsi="맑은 고딕" w:eastAsia="맑은 고딕"/>
                <w:sz w:val="20"/>
              </w:rPr>
              <w:t>제6조의14</w:t>
              <w:br/>
              <w:t>(신설)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sz w:val="20"/>
              </w:rPr>
              <w:t>(없음)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sz w:val="20"/>
              </w:rPr>
              <w:t>안전·보건 — 관계 법령에 따른 조치</w:t>
            </w:r>
          </w:p>
        </w:tc>
        <w:tc>
          <w:tcPr>
            <w:tcW w:type="dxa" w:w="2551"/>
          </w:tcPr>
          <w:p>
            <w:r>
              <w:rPr>
                <w:rFonts w:ascii="맑은 고딕" w:hAnsi="맑은 고딕" w:eastAsia="맑은 고딕"/>
                <w:sz w:val="20"/>
              </w:rPr>
              <w:t>산업안전보건법 기본 + 근기법 §93 제9호 필수</w:t>
            </w:r>
          </w:p>
        </w:tc>
      </w:tr>
      <w:tr>
        <w:tc>
          <w:tcPr>
            <w:tcW w:type="dxa" w:w="1417"/>
          </w:tcPr>
          <w:p>
            <w:r>
              <w:rPr>
                <w:rFonts w:ascii="맑은 고딕" w:hAnsi="맑은 고딕" w:eastAsia="맑은 고딕"/>
                <w:sz w:val="20"/>
              </w:rPr>
              <w:t>제6조의15</w:t>
              <w:br/>
              <w:t>(신설)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sz w:val="20"/>
              </w:rPr>
              <w:t>(없음)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sz w:val="20"/>
              </w:rPr>
              <w:t>차별 금지 및 다양성 존중</w:t>
            </w:r>
          </w:p>
        </w:tc>
        <w:tc>
          <w:tcPr>
            <w:tcW w:type="dxa" w:w="2551"/>
          </w:tcPr>
          <w:p>
            <w:r>
              <w:rPr>
                <w:rFonts w:ascii="맑은 고딕" w:hAnsi="맑은 고딕" w:eastAsia="맑은 고딕"/>
                <w:sz w:val="20"/>
              </w:rPr>
              <w:t>근기법 §93 제9의2호 필수 + 가족친화인증 평가 항목</w:t>
            </w:r>
          </w:p>
        </w:tc>
      </w:tr>
      <w:tr>
        <w:tc>
          <w:tcPr>
            <w:tcW w:type="dxa" w:w="1417"/>
          </w:tcPr>
          <w:p>
            <w:r>
              <w:rPr>
                <w:rFonts w:ascii="맑은 고딕" w:hAnsi="맑은 고딕" w:eastAsia="맑은 고딕"/>
                <w:sz w:val="20"/>
              </w:rPr>
              <w:t>제12조</w:t>
              <w:br/>
              <w:t>(신설)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sz w:val="20"/>
              </w:rPr>
              <w:t>(없음)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sz w:val="20"/>
              </w:rPr>
              <w:t>근로자대표 선임 및 운영 조항 신설</w:t>
            </w:r>
          </w:p>
        </w:tc>
        <w:tc>
          <w:tcPr>
            <w:tcW w:type="dxa" w:w="2551"/>
          </w:tcPr>
          <w:p>
            <w:r>
              <w:rPr>
                <w:rFonts w:ascii="맑은 고딕" w:hAnsi="맑은 고딕" w:eastAsia="맑은 고딕"/>
                <w:sz w:val="20"/>
              </w:rPr>
              <w:t>서면합의 당사자 근거의 명문화</w:t>
            </w:r>
          </w:p>
        </w:tc>
      </w:tr>
      <w:tr>
        <w:tc>
          <w:tcPr>
            <w:tcW w:type="dxa" w:w="1417"/>
          </w:tcPr>
          <w:p>
            <w:r>
              <w:rPr>
                <w:rFonts w:ascii="맑은 고딕" w:hAnsi="맑은 고딕" w:eastAsia="맑은 고딕"/>
                <w:sz w:val="20"/>
              </w:rPr>
              <w:t>부칙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sz w:val="20"/>
              </w:rPr>
              <w:t>2024.03.10 시행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sz w:val="20"/>
              </w:rPr>
              <w:t>3·4항 신설 (개정 시행일 명시)</w:t>
            </w:r>
          </w:p>
        </w:tc>
        <w:tc>
          <w:tcPr>
            <w:tcW w:type="dxa" w:w="2551"/>
          </w:tcPr>
          <w:p>
            <w:r>
              <w:rPr>
                <w:rFonts w:ascii="맑은 고딕" w:hAnsi="맑은 고딕" w:eastAsia="맑은 고딕"/>
                <w:sz w:val="20"/>
              </w:rPr>
              <w:t>개정 효력 발생일 기록</w:t>
            </w:r>
          </w:p>
        </w:tc>
      </w:tr>
    </w:tbl>
    <w:p/>
    <w:p>
      <w:pPr>
        <w:spacing w:before="240" w:after="120"/>
      </w:pPr>
      <w:r>
        <w:rPr>
          <w:rFonts w:ascii="맑은 고딕" w:hAnsi="맑은 고딕" w:eastAsia="맑은 고딕"/>
          <w:b/>
          <w:sz w:val="28"/>
        </w:rPr>
        <w:t>3. 법적 근거 (근로기준법 조문)</w:t>
      </w:r>
    </w:p>
    <w:p>
      <w:pPr>
        <w:spacing w:line="336" w:lineRule="auto"/>
      </w:pPr>
      <w:r>
        <w:rPr>
          <w:rFonts w:ascii="맑은 고딕" w:hAnsi="맑은 고딕" w:eastAsia="맑은 고딕"/>
          <w:b/>
          <w:sz w:val="22"/>
        </w:rPr>
        <w:t>■ 근로기준법 제52조 제1항 (선택적 근로시간제)</w:t>
      </w:r>
    </w:p>
    <w:p>
      <w:pPr>
        <w:spacing w:line="336" w:lineRule="auto"/>
        <w:ind w:left="283"/>
      </w:pPr>
      <w:r>
        <w:rPr>
          <w:rFonts w:ascii="맑은 고딕" w:hAnsi="맑은 고딕" w:eastAsia="맑은 고딕"/>
          <w:sz w:val="22"/>
        </w:rPr>
        <w:t>"사용자는 취업규칙(취업규칙에 준하는 것을 포함한다)에 따라 업무의 시작 및 종료 시각을 근로자의 결정에 맡기기로 한 근로자에 대하여 근로자대표와의 서면 합의에 따라 다음 각 호의 사항을 정하면 1개월 이내의 정산기간을 평균하여 1주간의 근로시간이 제50조제1항의 근로시간을 초과하지 아니하는 범위에서 1주 간에 제50조제1항의 근로시간을, 1일에 제50조제2항의 근로시간을 초과하여 근로하게 할 수 있다."</w:t>
      </w:r>
    </w:p>
    <w:p>
      <w:pPr>
        <w:spacing w:line="336" w:lineRule="auto"/>
        <w:ind w:left="567"/>
      </w:pPr>
      <w:r>
        <w:rPr>
          <w:rFonts w:ascii="맑은 고딕" w:hAnsi="맑은 고딕" w:eastAsia="맑은 고딕"/>
          <w:sz w:val="22"/>
        </w:rPr>
        <w:t>1호. 대상 근로자의 범위 (15세 이상 18세 미만의 근로자는 제외)</w:t>
      </w:r>
    </w:p>
    <w:p>
      <w:pPr>
        <w:spacing w:line="336" w:lineRule="auto"/>
        <w:ind w:left="567"/>
      </w:pPr>
      <w:r>
        <w:rPr>
          <w:rFonts w:ascii="맑은 고딕" w:hAnsi="맑은 고딕" w:eastAsia="맑은 고딕"/>
          <w:sz w:val="22"/>
        </w:rPr>
        <w:t>2호. 정산기간</w:t>
      </w:r>
    </w:p>
    <w:p>
      <w:pPr>
        <w:spacing w:line="336" w:lineRule="auto"/>
        <w:ind w:left="567"/>
      </w:pPr>
      <w:r>
        <w:rPr>
          <w:rFonts w:ascii="맑은 고딕" w:hAnsi="맑은 고딕" w:eastAsia="맑은 고딕"/>
          <w:sz w:val="22"/>
        </w:rPr>
        <w:t>3호. 정산기간의 총 근로시간</w:t>
      </w:r>
    </w:p>
    <w:p>
      <w:pPr>
        <w:spacing w:line="336" w:lineRule="auto"/>
        <w:ind w:left="567"/>
      </w:pPr>
      <w:r>
        <w:rPr>
          <w:rFonts w:ascii="맑은 고딕" w:hAnsi="맑은 고딕" w:eastAsia="맑은 고딕"/>
          <w:sz w:val="22"/>
        </w:rPr>
        <w:t>4호. 반드시 근로하여야 할 시간대 (있는 경우 그 시작 및 종료 시각)</w:t>
      </w:r>
    </w:p>
    <w:p>
      <w:pPr>
        <w:spacing w:line="336" w:lineRule="auto"/>
        <w:ind w:left="567"/>
      </w:pPr>
      <w:r>
        <w:rPr>
          <w:rFonts w:ascii="맑은 고딕" w:hAnsi="맑은 고딕" w:eastAsia="맑은 고딕"/>
          <w:sz w:val="22"/>
        </w:rPr>
        <w:t>5호. 근로자가 그의 결정에 따라 근로할 수 있는 시간대 (있는 경우)</w:t>
      </w:r>
    </w:p>
    <w:p>
      <w:pPr>
        <w:spacing w:line="336" w:lineRule="auto"/>
        <w:ind w:left="567"/>
      </w:pPr>
      <w:r>
        <w:rPr>
          <w:rFonts w:ascii="맑은 고딕" w:hAnsi="맑은 고딕" w:eastAsia="맑은 고딕"/>
          <w:sz w:val="22"/>
        </w:rPr>
        <w:t>6호. 그 밖에 대통령령으로 정하는 사항 (시행령 제29조: 표준근로시간)</w:t>
      </w:r>
    </w:p>
    <w:p/>
    <w:p>
      <w:pPr>
        <w:spacing w:line="336" w:lineRule="auto"/>
      </w:pPr>
      <w:r>
        <w:rPr>
          <w:rFonts w:ascii="맑은 고딕" w:hAnsi="맑은 고딕" w:eastAsia="맑은 고딕"/>
          <w:b/>
          <w:sz w:val="22"/>
        </w:rPr>
        <w:t>■ 근로기준법 제58조 제3항 (재량근로시간제)</w:t>
      </w:r>
    </w:p>
    <w:p>
      <w:pPr>
        <w:spacing w:line="336" w:lineRule="auto"/>
        <w:ind w:left="283"/>
      </w:pPr>
      <w:r>
        <w:rPr>
          <w:rFonts w:ascii="맑은 고딕" w:hAnsi="맑은 고딕" w:eastAsia="맑은 고딕"/>
          <w:sz w:val="22"/>
        </w:rPr>
        <w:t>"업무의 성질에 비추어 업무 수행 방법을 근로자의 재량에 위임할 필요가 있는 업무로서 대통령령으로 정하는 업무는 사용자가 근로자대표와 서면 합의로 정한 시간을 근로한 것으로 본다. 이 경우 그 서면 합의에는 다음 각 호의 사항을 명시하여야 한다."</w:t>
      </w:r>
    </w:p>
    <w:p>
      <w:pPr>
        <w:spacing w:line="336" w:lineRule="auto"/>
        <w:ind w:left="567"/>
      </w:pPr>
      <w:r>
        <w:rPr>
          <w:rFonts w:ascii="맑은 고딕" w:hAnsi="맑은 고딕" w:eastAsia="맑은 고딕"/>
          <w:sz w:val="22"/>
        </w:rPr>
        <w:t>1호. 대상 업무</w:t>
      </w:r>
    </w:p>
    <w:p>
      <w:pPr>
        <w:spacing w:line="336" w:lineRule="auto"/>
        <w:ind w:left="567"/>
      </w:pPr>
      <w:r>
        <w:rPr>
          <w:rFonts w:ascii="맑은 고딕" w:hAnsi="맑은 고딕" w:eastAsia="맑은 고딕"/>
          <w:sz w:val="22"/>
        </w:rPr>
        <w:t>2호. 사용자가 업무의 수행 수단 및 시간 배분 등에 관하여 근로자에게 구체적인 지시를 하지 아니한다는 내용</w:t>
      </w:r>
    </w:p>
    <w:p>
      <w:pPr>
        <w:spacing w:line="336" w:lineRule="auto"/>
        <w:ind w:left="567"/>
      </w:pPr>
      <w:r>
        <w:rPr>
          <w:rFonts w:ascii="맑은 고딕" w:hAnsi="맑은 고딕" w:eastAsia="맑은 고딕"/>
          <w:sz w:val="22"/>
        </w:rPr>
        <w:t>3호. 근로시간의 산정은 그 서면 합의로 정하는 바에 따른다는 내용</w:t>
      </w:r>
    </w:p>
    <w:p/>
    <w:p>
      <w:pPr>
        <w:spacing w:line="336" w:lineRule="auto"/>
      </w:pPr>
      <w:r>
        <w:rPr>
          <w:rFonts w:ascii="맑은 고딕" w:hAnsi="맑은 고딕" w:eastAsia="맑은 고딕"/>
          <w:b/>
          <w:sz w:val="22"/>
        </w:rPr>
        <w:t>■ 근로기준법 시행령 제31조 (재량근로의 대상업무)</w:t>
      </w:r>
    </w:p>
    <w:p>
      <w:pPr>
        <w:spacing w:line="336" w:lineRule="auto"/>
        <w:ind w:left="283"/>
      </w:pPr>
      <w:r>
        <w:rPr>
          <w:rFonts w:ascii="맑은 고딕" w:hAnsi="맑은 고딕" w:eastAsia="맑은 고딕"/>
          <w:sz w:val="22"/>
        </w:rPr>
        <w:t>법 제58조제3항 전단에서 "대통령령으로 정하는 업무"란 다음 각 호의 어느 하나에 해당하는 업무를 말한다.</w:t>
      </w:r>
    </w:p>
    <w:p>
      <w:pPr>
        <w:spacing w:line="336" w:lineRule="auto"/>
        <w:ind w:left="567"/>
      </w:pPr>
      <w:r>
        <w:rPr>
          <w:rFonts w:ascii="맑은 고딕" w:hAnsi="맑은 고딕" w:eastAsia="맑은 고딕"/>
          <w:sz w:val="22"/>
        </w:rPr>
        <w:t>제1호: 신상품 또는 신기술의 연구개발 등의 연구 업무</w:t>
      </w:r>
    </w:p>
    <w:p>
      <w:pPr>
        <w:spacing w:line="336" w:lineRule="auto"/>
        <w:ind w:left="567"/>
      </w:pPr>
      <w:r>
        <w:rPr>
          <w:rFonts w:ascii="맑은 고딕" w:hAnsi="맑은 고딕" w:eastAsia="맑은 고딕"/>
          <w:sz w:val="22"/>
        </w:rPr>
        <w:t>제2호: 정보처리시스템의 설계 또는 분석 업무</w:t>
      </w:r>
    </w:p>
    <w:p>
      <w:pPr>
        <w:spacing w:line="336" w:lineRule="auto"/>
        <w:ind w:left="567"/>
      </w:pPr>
      <w:r>
        <w:rPr>
          <w:rFonts w:ascii="맑은 고딕" w:hAnsi="맑은 고딕" w:eastAsia="맑은 고딕"/>
          <w:sz w:val="22"/>
        </w:rPr>
        <w:t>제3호: 신문, 방송 또는 출판 사업에서의 기사의 취재·편성·편집 업무</w:t>
      </w:r>
    </w:p>
    <w:p>
      <w:pPr>
        <w:spacing w:line="336" w:lineRule="auto"/>
        <w:ind w:left="567"/>
      </w:pPr>
      <w:r>
        <w:rPr>
          <w:rFonts w:ascii="맑은 고딕" w:hAnsi="맑은 고딕" w:eastAsia="맑은 고딕"/>
          <w:sz w:val="22"/>
        </w:rPr>
        <w:t>제4호: 의복·실내장식·공업제품·광고 등의 디자인 또는 고안 업무</w:t>
      </w:r>
    </w:p>
    <w:p>
      <w:pPr>
        <w:spacing w:line="336" w:lineRule="auto"/>
        <w:ind w:left="567"/>
      </w:pPr>
      <w:r>
        <w:rPr>
          <w:rFonts w:ascii="맑은 고딕" w:hAnsi="맑은 고딕" w:eastAsia="맑은 고딕"/>
          <w:sz w:val="22"/>
        </w:rPr>
        <w:t>제5호: 방송 프로그램·영화 등의 제작 사업에서의 프로듀서나 감독 업무</w:t>
      </w:r>
    </w:p>
    <w:p>
      <w:pPr>
        <w:spacing w:line="336" w:lineRule="auto"/>
        <w:ind w:left="567"/>
      </w:pPr>
      <w:r>
        <w:rPr>
          <w:rFonts w:ascii="맑은 고딕" w:hAnsi="맑은 고딕" w:eastAsia="맑은 고딕"/>
          <w:sz w:val="22"/>
        </w:rPr>
        <w:t>제6호: 그 밖에 고용노동부장관이 정하는 업무</w:t>
      </w:r>
    </w:p>
    <w:p/>
    <w:p>
      <w:pPr>
        <w:spacing w:before="240" w:after="120"/>
      </w:pPr>
      <w:r>
        <w:rPr>
          <w:rFonts w:ascii="맑은 고딕" w:hAnsi="맑은 고딕" w:eastAsia="맑은 고딕"/>
          <w:b/>
          <w:sz w:val="28"/>
        </w:rPr>
        <w:t>4. 모성보호 및 일·가정 양립 관련 법적 근거</w:t>
      </w:r>
    </w:p>
    <w:p>
      <w:pPr>
        <w:spacing w:line="336" w:lineRule="auto"/>
      </w:pPr>
      <w:r>
        <w:rPr>
          <w:rFonts w:ascii="맑은 고딕" w:hAnsi="맑은 고딕" w:eastAsia="맑은 고딕"/>
          <w:b/>
          <w:sz w:val="22"/>
        </w:rPr>
        <w:t>■ 근로기준법 제74조 (임산부의 보호)</w:t>
      </w:r>
    </w:p>
    <w:p>
      <w:pPr>
        <w:spacing w:line="336" w:lineRule="auto"/>
        <w:ind w:left="283"/>
      </w:pPr>
      <w:r>
        <w:rPr>
          <w:rFonts w:ascii="맑은 고딕" w:hAnsi="맑은 고딕" w:eastAsia="맑은 고딕"/>
          <w:sz w:val="22"/>
        </w:rPr>
        <w:t>① 출산전후휴가 90일 (미숙아 100일, 쌍태아 이상 120일), 출산 후 45일 이상 보장, 최초 60일(쌍태아 75일) 유급</w:t>
      </w:r>
    </w:p>
    <w:p>
      <w:pPr>
        <w:spacing w:line="336" w:lineRule="auto"/>
        <w:ind w:left="283"/>
      </w:pPr>
      <w:r>
        <w:rPr>
          <w:rFonts w:ascii="맑은 고딕" w:hAnsi="맑은 고딕" w:eastAsia="맑은 고딕"/>
          <w:sz w:val="22"/>
        </w:rPr>
        <w:t>③ 유산·사산휴가 부여 의무</w:t>
      </w:r>
    </w:p>
    <w:p>
      <w:pPr>
        <w:spacing w:line="336" w:lineRule="auto"/>
        <w:ind w:left="283"/>
      </w:pPr>
      <w:r>
        <w:rPr>
          <w:rFonts w:ascii="맑은 고딕" w:hAnsi="맑은 고딕" w:eastAsia="맑은 고딕"/>
          <w:sz w:val="22"/>
        </w:rPr>
        <w:t>⑤ 임신 중 시간외근로 금지 + 쉬운 근로 전환 의무</w:t>
      </w:r>
    </w:p>
    <w:p>
      <w:pPr>
        <w:spacing w:line="336" w:lineRule="auto"/>
        <w:ind w:left="283"/>
      </w:pPr>
      <w:r>
        <w:rPr>
          <w:rFonts w:ascii="맑은 고딕" w:hAnsi="맑은 고딕" w:eastAsia="맑은 고딕"/>
          <w:sz w:val="22"/>
        </w:rPr>
        <w:t>⑦ 임신 12주 이내·32주 이후 1일 2시간 근로시간 단축 (임금 삭감 금지)</w:t>
      </w:r>
    </w:p>
    <w:p>
      <w:pPr>
        <w:spacing w:line="336" w:lineRule="auto"/>
        <w:ind w:left="283"/>
      </w:pPr>
      <w:r>
        <w:rPr>
          <w:rFonts w:ascii="맑은 고딕" w:hAnsi="맑은 고딕" w:eastAsia="맑은 고딕"/>
          <w:sz w:val="22"/>
        </w:rPr>
        <w:t>⑨ 임신 중 출퇴근 시각 변경 신청 허용 의무</w:t>
      </w:r>
    </w:p>
    <w:p/>
    <w:p>
      <w:pPr>
        <w:spacing w:line="336" w:lineRule="auto"/>
      </w:pPr>
      <w:r>
        <w:rPr>
          <w:rFonts w:ascii="맑은 고딕" w:hAnsi="맑은 고딕" w:eastAsia="맑은 고딕"/>
          <w:b/>
          <w:sz w:val="22"/>
        </w:rPr>
        <w:t>■ 남녀고용평등과 일·가정 양립 지원에 관한 법률 (2025.10.01 개정 반영)</w:t>
      </w:r>
    </w:p>
    <w:p>
      <w:pPr>
        <w:spacing w:line="336" w:lineRule="auto"/>
        <w:ind w:left="283"/>
      </w:pPr>
      <w:r>
        <w:rPr>
          <w:rFonts w:ascii="맑은 고딕" w:hAnsi="맑은 고딕" w:eastAsia="맑은 고딕"/>
          <w:sz w:val="22"/>
        </w:rPr>
        <w:t>제18조의2 배우자 출산휴가: 20일 (전부 유급, 3회 분할 가능)</w:t>
      </w:r>
    </w:p>
    <w:p>
      <w:pPr>
        <w:spacing w:line="336" w:lineRule="auto"/>
        <w:ind w:left="283"/>
      </w:pPr>
      <w:r>
        <w:rPr>
          <w:rFonts w:ascii="맑은 고딕" w:hAnsi="맑은 고딕" w:eastAsia="맑은 고딕"/>
          <w:sz w:val="22"/>
        </w:rPr>
        <w:t>제18조의3 난임치료휴가: 연 6일 (최초 2일 유급)</w:t>
      </w:r>
    </w:p>
    <w:p>
      <w:pPr>
        <w:spacing w:line="336" w:lineRule="auto"/>
        <w:ind w:left="283"/>
      </w:pPr>
      <w:r>
        <w:rPr>
          <w:rFonts w:ascii="맑은 고딕" w:hAnsi="맑은 고딕" w:eastAsia="맑은 고딕"/>
          <w:sz w:val="22"/>
        </w:rPr>
        <w:t>제19조 육아휴직: 만 8세 이하 또는 초2 이하 자녀, 1년 이내 (부모 모두 사용 시 +6개월)</w:t>
      </w:r>
    </w:p>
    <w:p>
      <w:pPr>
        <w:spacing w:line="336" w:lineRule="auto"/>
        <w:ind w:left="283"/>
      </w:pPr>
      <w:r>
        <w:rPr>
          <w:rFonts w:ascii="맑은 고딕" w:hAnsi="맑은 고딕" w:eastAsia="맑은 고딕"/>
          <w:sz w:val="22"/>
        </w:rPr>
        <w:t>제19조의2 육아기 근로시간 단축: 만 12세 이하 또는 초6 이하 자녀, 주 15~35시간, 1년 이내</w:t>
      </w:r>
    </w:p>
    <w:p>
      <w:pPr>
        <w:spacing w:line="336" w:lineRule="auto"/>
        <w:ind w:left="283"/>
      </w:pPr>
      <w:r>
        <w:rPr>
          <w:rFonts w:ascii="맑은 고딕" w:hAnsi="맑은 고딕" w:eastAsia="맑은 고딕"/>
          <w:sz w:val="22"/>
        </w:rPr>
        <w:t>제22조의2 가족돌봄휴직(연 90일) 및 가족돌봄휴가(연 10일)</w:t>
      </w:r>
    </w:p>
    <w:p/>
    <w:p>
      <w:pPr>
        <w:spacing w:line="336" w:lineRule="auto"/>
      </w:pPr>
      <w:r>
        <w:rPr>
          <w:rFonts w:ascii="맑은 고딕" w:hAnsi="맑은 고딕" w:eastAsia="맑은 고딕"/>
          <w:sz w:val="22"/>
        </w:rPr>
        <w:t>※ 위 조항들은 법적 의무이므로 인사규정에 명시되지 않더라도 모두 준수하여야 하나, 본 개정안에서는 가족친화인증 및 사업주 지원금 신청 시 근거 확보를 위하여 인사규정에 명문화합니다.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