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sz w:val="48"/>
          <w:szCs w:val="48"/>
        </w:rPr>
        <w:t xml:space="preserve">A Physics-Guided Framework for Forward and Inverse SRAM V</w:t>
      </w:r>
      <w:r>
        <w:rPr>
          <w:rFonts w:ascii="Times New Roman" w:cs="Times New Roman" w:eastAsia="Times New Roman" w:hAnsi="Times New Roman"/>
          <w:sz w:val="48"/>
          <w:szCs w:val="48"/>
          <w:vertAlign w:val="subscript"/>
        </w:rPr>
        <w:t xml:space="preserve">min</w:t>
      </w:r>
      <w:r>
        <w:rPr>
          <w:rFonts w:ascii="Times New Roman" w:cs="Times New Roman" w:eastAsia="Times New Roman" w:hAnsi="Times New Roman"/>
          <w:sz w:val="48"/>
          <w:szCs w:val="48"/>
        </w:rPr>
        <w:t xml:space="preserve"> Estimation Under Process Variation</w:t>
      </w:r>
    </w:p>
    <w:p>
      <w:pPr>
        <w:spacing w:after="60"/>
        <w:jc w:val="center"/>
      </w:pPr>
      <w:r>
        <w:rPr>
          <w:rFonts w:ascii="Times New Roman" w:cs="Times New Roman" w:eastAsia="Times New Roman" w:hAnsi="Times New Roman"/>
          <w:sz w:val="24"/>
          <w:szCs w:val="24"/>
        </w:rPr>
        <w:t xml:space="preserve">[Author Names — to be supplied]</w:t>
      </w:r>
    </w:p>
    <w:p>
      <w:pPr>
        <w:spacing w:after="300"/>
        <w:jc w:val="center"/>
      </w:pPr>
      <w:r>
        <w:rPr>
          <w:rFonts w:ascii="Times New Roman" w:cs="Times New Roman" w:eastAsia="Times New Roman" w:hAnsi="Times New Roman"/>
          <w:i/>
          <w:iCs/>
          <w:sz w:val="20"/>
          <w:szCs w:val="20"/>
        </w:rPr>
        <w:t xml:space="preserve">[Affiliation — to be supplied]</w:t>
      </w:r>
    </w:p>
    <w:p>
      <w:pPr>
        <w:sectPr>
          <w:type w:val="continuous"/>
          <w:pgSz w:w="12240" w:h="15840" w:orient="portrait"/>
          <w:pgMar w:top="1080" w:right="900" w:bottom="1440" w:left="900" w:header="708" w:footer="708" w:gutter="0"/>
          <w:pgNumType/>
          <w:cols w:num="1"/>
          <w:docGrid w:linePitch="360"/>
        </w:sectPr>
      </w:pPr>
    </w:p>
    <w:p>
      <w:pPr>
        <w:spacing w:after="160" w:line="240"/>
        <w:ind w:firstLine="288"/>
        <w:jc w:val="both"/>
      </w:pPr>
      <w:r>
        <w:rPr>
          <w:rFonts w:ascii="Times New Roman" w:cs="Times New Roman" w:eastAsia="Times New Roman" w:hAnsi="Times New Roman"/>
          <w:b/>
          <w:bCs/>
          <w:sz w:val="20"/>
          <w:szCs w:val="20"/>
        </w:rPr>
        <w:t xml:space="preserve">Abstract—</w:t>
      </w:r>
      <w:r>
        <w:rPr>
          <w:rFonts w:ascii="Times New Roman" w:cs="Times New Roman" w:eastAsia="Times New Roman" w:hAnsi="Times New Roman"/>
          <w:sz w:val="20"/>
          <w:szCs w:val="20"/>
        </w:rPr>
        <w:t xml:space="preserve">Verifying the minimum operating voltage (V</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 of SRAM bitcells involves a difficult trade-off: Monte Carlo (MC) simulation is too expensive for routine use, while standard PDK corner analysis often misses critical variation caused by local mismatch. This paper presents a physics-guided framework that bridges this gap. Using a single, fixed simulation budget, the method delivers high-fidelity V</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 predictions and enables inverse process-window analysis. Unlike black-box machine-learning models, the approach explicitly separates device-level margin statistics — the mean and the standard deviation — from the analytic yield relation, preserving physical interpretability. Validated on silicon-calibrated simulation data from an advanced FinFET node, the framework predicts hold-out V</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 with millivolt-level accuracy (3.98 mV RMSE for read, 5.65 mV for write) and correctly identifies limiting PDK corners unseen during training. Crucially, a total-order global sensitivity analysis exposes a fundamental blind spot in conventional corner-based verification: a local NMOS mismatch axis contributes more read-margin variance than the global PMOS threshold-shift corner axis, and at least 38 % of the read-margin variance lies in process directions orthogonal to the conventional corner set. Corner-only flows may therefore underestimate V</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 by ignoring mismatch-driven tails. The framework also supports inverse queries, letting engineers determine the process shifts — a V</w:t>
      </w:r>
      <w:r>
        <w:rPr>
          <w:rFonts w:ascii="Times New Roman" w:cs="Times New Roman" w:eastAsia="Times New Roman" w:hAnsi="Times New Roman"/>
          <w:sz w:val="20"/>
          <w:szCs w:val="20"/>
          <w:vertAlign w:val="subscript"/>
        </w:rPr>
        <w:t xml:space="preserve">th</w:t>
      </w:r>
      <w:r>
        <w:rPr>
          <w:rFonts w:ascii="Times New Roman" w:cs="Times New Roman" w:eastAsia="Times New Roman" w:hAnsi="Times New Roman"/>
          <w:sz w:val="20"/>
          <w:szCs w:val="20"/>
        </w:rPr>
        <w:t xml:space="preserve"> tolerance, for example — needed to meet a target V</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 The margin distribution is treated as Gaussian throughout, and tail-shape correction is left to future work. Within that assumption the proposed method establishes a robust, efficient workflow that connects statistical variation, yield targets, and actionable process specifications.</w:t>
      </w:r>
    </w:p>
    <w:p>
      <w:pPr>
        <w:spacing w:after="240" w:line="240"/>
        <w:ind w:firstLine="288"/>
        <w:jc w:val="both"/>
      </w:pPr>
      <w:r>
        <w:rPr>
          <w:rFonts w:ascii="Times New Roman" w:cs="Times New Roman" w:eastAsia="Times New Roman" w:hAnsi="Times New Roman"/>
          <w:b/>
          <w:bCs/>
          <w:sz w:val="20"/>
          <w:szCs w:val="20"/>
        </w:rPr>
        <w:t xml:space="preserve">Index Terms—</w:t>
      </w:r>
      <w:r>
        <w:rPr>
          <w:rFonts w:ascii="Times New Roman" w:cs="Times New Roman" w:eastAsia="Times New Roman" w:hAnsi="Times New Roman"/>
          <w:sz w:val="20"/>
          <w:szCs w:val="20"/>
        </w:rPr>
        <w:t xml:space="preserve">SRAM, minimum operating voltage (V</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 process variation, local mismatch, Gaussian process, yield analysis, global sensitivity analysis, design-technology co-optimization (DTCO).</w:t>
      </w:r>
    </w:p>
    <w:p>
      <w:pPr>
        <w:pStyle w:val="Heading1"/>
        <w:spacing w:after="120" w:before="240"/>
        <w:jc w:val="center"/>
      </w:pPr>
      <w:r>
        <w:rPr>
          <w:rFonts w:ascii="Times New Roman" w:cs="Times New Roman" w:eastAsia="Times New Roman" w:hAnsi="Times New Roman"/>
          <w:sz w:val="20"/>
          <w:szCs w:val="20"/>
        </w:rPr>
        <w:t xml:space="preserve">I.  Introduction</w:t>
      </w:r>
    </w:p>
    <w:p>
      <w:pPr>
        <w:spacing w:after="120" w:line="240"/>
        <w:jc w:val="both"/>
      </w:pPr>
      <w:r>
        <w:rPr>
          <w:rFonts w:ascii="Times New Roman" w:cs="Times New Roman" w:eastAsia="Times New Roman" w:hAnsi="Times New Roman"/>
          <w:sz w:val="20"/>
          <w:szCs w:val="20"/>
        </w:rPr>
        <w:t xml:space="preserve">In advanced technology nodes, process variation and device mismatch increasingly constrain SRAM bitcell stability, which is expressed through the minimum operating voltage (V</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 [1]–[3]. Traditional verification faces a dilemma. Full Monte Carlo (MC) analysis offers statistical completeness but is prohibitively expensive [4]–[6], while PDK corner analysis is fast but samples only a few predefined global directions.</w:t>
      </w:r>
    </w:p>
    <w:p>
      <w:pPr>
        <w:spacing w:after="120" w:line="240"/>
        <w:ind w:firstLine="288"/>
        <w:jc w:val="both"/>
      </w:pPr>
      <w:r>
        <w:rPr>
          <w:rFonts w:ascii="Times New Roman" w:cs="Times New Roman" w:eastAsia="Times New Roman" w:hAnsi="Times New Roman"/>
          <w:sz w:val="20"/>
          <w:szCs w:val="20"/>
        </w:rPr>
        <w:t xml:space="preserve">The critical flaw in corner-based analysis is its inability to capture variance driven by local mismatch, which does not align with the standard global corners (SSG, FFG, and their skewed variants). Consequently, designs signed off using corner simulations alone risk silicon yield loss from unmodeled statistical tails. Conversely, relying on MC sweeps for every design iteration is impractical under runtime constraints.</w:t>
      </w:r>
    </w:p>
    <w:p>
      <w:pPr>
        <w:spacing w:after="120" w:line="240"/>
        <w:ind w:firstLine="288"/>
        <w:jc w:val="both"/>
      </w:pPr>
      <w:r>
        <w:rPr>
          <w:rFonts w:ascii="Times New Roman" w:cs="Times New Roman" w:eastAsia="Times New Roman" w:hAnsi="Times New Roman"/>
          <w:sz w:val="20"/>
          <w:szCs w:val="20"/>
        </w:rPr>
        <w:t xml:space="preserve">This work proposes a physics-guided framework that resolves the trade-off. The goal is not to replace circuit simulation with a statistical surrogate, but to maximize the insight extracted from a fixed simulation budget. The core idea is to model the process-dependent statistics of the noise margin — its mean μ and standard deviation σ — rather than regressing V</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 directly. By retaining an analytic yield relation, the framework preserves the physical link between the margin distribution and the yield probability. This provides three capabilities:</w:t>
      </w:r>
    </w:p>
    <w:p>
      <w:pPr>
        <w:tabs>
          <w:tab w:val="left" w:pos="360"/>
        </w:tabs>
        <w:spacing w:after="40" w:line="240"/>
        <w:ind w:left="360" w:hanging="360"/>
        <w:jc w:val="both"/>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Accurate forward prediction: estimating V</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 for arbitrary process conditions with millivolt precision.</w:t>
      </w:r>
    </w:p>
    <w:p>
      <w:pPr>
        <w:tabs>
          <w:tab w:val="left" w:pos="360"/>
        </w:tabs>
        <w:spacing w:after="40" w:line="240"/>
        <w:ind w:left="360" w:hanging="360"/>
        <w:jc w:val="both"/>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Inverse process specification: determining the maximum allowable process shift — the process window — that still meets a target V</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w:t>
      </w:r>
    </w:p>
    <w:p>
      <w:pPr>
        <w:tabs>
          <w:tab w:val="left" w:pos="360"/>
        </w:tabs>
        <w:spacing w:after="120" w:line="240"/>
        <w:ind w:left="360" w:hanging="360"/>
        <w:jc w:val="both"/>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Sensitivity-driven insight: quantifying the impact of global shifts against local mismatch, exposing the blind spots of corner-only verification.</w:t>
      </w:r>
    </w:p>
    <w:p>
      <w:pPr>
        <w:spacing w:after="120" w:line="240"/>
        <w:ind w:firstLine="288"/>
        <w:jc w:val="both"/>
      </w:pPr>
      <w:r>
        <w:rPr>
          <w:rFonts w:ascii="Times New Roman" w:cs="Times New Roman" w:eastAsia="Times New Roman" w:hAnsi="Times New Roman"/>
          <w:sz w:val="20"/>
          <w:szCs w:val="20"/>
        </w:rPr>
        <w:t xml:space="preserve">We demonstrate the framework on an advanced FinFET node and show that local mismatch can dominate read-margin variance — a phenomenon invisible to standard corner analysis. This makes a compelling case for integrating statistical sensitivity analysis into the standard SRAM sign-off flow.</w:t>
      </w:r>
    </w:p>
    <w:p>
      <w:pPr>
        <w:pStyle w:val="Heading1"/>
        <w:spacing w:after="120" w:before="240"/>
        <w:jc w:val="center"/>
      </w:pPr>
      <w:r>
        <w:rPr>
          <w:rFonts w:ascii="Times New Roman" w:cs="Times New Roman" w:eastAsia="Times New Roman" w:hAnsi="Times New Roman"/>
          <w:sz w:val="20"/>
          <w:szCs w:val="20"/>
        </w:rPr>
        <w:t xml:space="preserve">II.  Physics-Guided Modeling Framework</w:t>
      </w:r>
    </w:p>
    <w:p>
      <w:pPr>
        <w:pStyle w:val="Heading2"/>
        <w:spacing w:after="80" w:before="160"/>
        <w:jc w:val="left"/>
      </w:pPr>
      <w:r>
        <w:rPr>
          <w:rFonts w:ascii="Times New Roman" w:cs="Times New Roman" w:eastAsia="Times New Roman" w:hAnsi="Times New Roman"/>
          <w:i/>
          <w:iCs/>
          <w:sz w:val="20"/>
          <w:szCs w:val="20"/>
        </w:rPr>
        <w:t xml:space="preserve">A.  Decoupling Margin Statistics From the Yield Definition</w:t>
      </w:r>
    </w:p>
    <w:p>
      <w:pPr>
        <w:spacing w:after="60" w:line="240"/>
        <w:jc w:val="both"/>
      </w:pPr>
      <w:r>
        <w:rPr>
          <w:rFonts w:ascii="Times New Roman" w:cs="Times New Roman" w:eastAsia="Times New Roman" w:hAnsi="Times New Roman"/>
          <w:sz w:val="20"/>
          <w:szCs w:val="20"/>
        </w:rPr>
        <w:t xml:space="preserve">Directly regressing V</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 hides the physical causes of failure. Instead, the framework models the conditional mean μ and standard deviation σ of the SRAM noise margin as continuous functions of the process parameters p — gate length, threshold voltage, oxide thickness, and the local-mismatch axes — and of the supply voltage V</w:t>
      </w:r>
      <w:r>
        <w:rPr>
          <w:rFonts w:ascii="Times New Roman" w:cs="Times New Roman" w:eastAsia="Times New Roman" w:hAnsi="Times New Roman"/>
          <w:sz w:val="20"/>
          <w:szCs w:val="20"/>
          <w:vertAlign w:val="subscript"/>
        </w:rPr>
        <w:t xml:space="preserve">DD</w:t>
      </w:r>
      <w:r>
        <w:rPr>
          <w:rFonts w:ascii="Times New Roman" w:cs="Times New Roman" w:eastAsia="Times New Roman" w:hAnsi="Times New Roman"/>
          <w:sz w:val="20"/>
          <w:szCs w:val="20"/>
        </w:rPr>
        <w:t xml:space="preserve">. The yield probability Y then follows analytically from the standard normal cumulative distribution function Φ:</w:t>
      </w:r>
    </w:p>
    <w:p>
      <w:pPr>
        <w:tabs>
          <w:tab w:val="right" w:pos="4940"/>
        </w:tabs>
        <w:spacing w:after="120" w:before="120"/>
        <w:ind w:left="504"/>
      </w:pPr>
      <w:r>
        <w:rPr>
          <w:rFonts w:ascii="Times New Roman" w:cs="Times New Roman" w:eastAsia="Times New Roman" w:hAnsi="Times New Roman"/>
          <w:sz w:val="20"/>
          <w:szCs w:val="20"/>
        </w:rPr>
        <w:t xml:space="preserve">Y(V</w:t>
      </w:r>
      <w:r>
        <w:rPr>
          <w:rFonts w:ascii="Times New Roman" w:cs="Times New Roman" w:eastAsia="Times New Roman" w:hAnsi="Times New Roman"/>
          <w:sz w:val="20"/>
          <w:szCs w:val="20"/>
          <w:vertAlign w:val="subscript"/>
        </w:rPr>
        <w:t xml:space="preserve">DD</w:t>
      </w:r>
      <w:r>
        <w:rPr>
          <w:rFonts w:ascii="Times New Roman" w:cs="Times New Roman" w:eastAsia="Times New Roman" w:hAnsi="Times New Roman"/>
          <w:sz w:val="20"/>
          <w:szCs w:val="20"/>
        </w:rPr>
        <w:t xml:space="preserve">, p) = Φ[ μ(p, V</w:t>
      </w:r>
      <w:r>
        <w:rPr>
          <w:rFonts w:ascii="Times New Roman" w:cs="Times New Roman" w:eastAsia="Times New Roman" w:hAnsi="Times New Roman"/>
          <w:sz w:val="20"/>
          <w:szCs w:val="20"/>
          <w:vertAlign w:val="subscript"/>
        </w:rPr>
        <w:t xml:space="preserve">DD</w:t>
      </w:r>
      <w:r>
        <w:rPr>
          <w:rFonts w:ascii="Times New Roman" w:cs="Times New Roman" w:eastAsia="Times New Roman" w:hAnsi="Times New Roman"/>
          <w:sz w:val="20"/>
          <w:szCs w:val="20"/>
        </w:rPr>
        <w:t xml:space="preserve">) / σ(p, V</w:t>
      </w:r>
      <w:r>
        <w:rPr>
          <w:rFonts w:ascii="Times New Roman" w:cs="Times New Roman" w:eastAsia="Times New Roman" w:hAnsi="Times New Roman"/>
          <w:sz w:val="20"/>
          <w:szCs w:val="20"/>
          <w:vertAlign w:val="subscript"/>
        </w:rPr>
        <w:t xml:space="preserve">DD</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(1)</w:t>
      </w:r>
    </w:p>
    <w:p>
      <w:pPr>
        <w:spacing w:after="60" w:line="240"/>
        <w:jc w:val="both"/>
      </w:pPr>
      <w:r>
        <w:rPr>
          <w:rFonts w:ascii="Times New Roman" w:cs="Times New Roman" w:eastAsia="Times New Roman" w:hAnsi="Times New Roman"/>
          <w:sz w:val="20"/>
          <w:szCs w:val="20"/>
        </w:rPr>
        <w:t xml:space="preserve">and V</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 is the lowest supply that still satisfies the yield target, equivalently the lowest supply at which the margin tail stays non-negative:</w:t>
      </w:r>
    </w:p>
    <w:p>
      <w:pPr>
        <w:tabs>
          <w:tab w:val="right" w:pos="4940"/>
        </w:tabs>
        <w:spacing w:after="120" w:before="120"/>
        <w:ind w:left="504"/>
      </w:pPr>
      <w:r>
        <w:rPr>
          <w:rFonts w:ascii="Times New Roman" w:cs="Times New Roman" w:eastAsia="Times New Roman" w:hAnsi="Times New Roman"/>
          <w:sz w:val="20"/>
          <w:szCs w:val="20"/>
        </w:rPr>
        <w:t xml:space="preserve">V</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(p) = min { V</w:t>
      </w:r>
      <w:r>
        <w:rPr>
          <w:rFonts w:ascii="Times New Roman" w:cs="Times New Roman" w:eastAsia="Times New Roman" w:hAnsi="Times New Roman"/>
          <w:sz w:val="20"/>
          <w:szCs w:val="20"/>
          <w:vertAlign w:val="subscript"/>
        </w:rPr>
        <w:t xml:space="preserve">DD</w:t>
      </w:r>
      <w:r>
        <w:rPr>
          <w:rFonts w:ascii="Times New Roman" w:cs="Times New Roman" w:eastAsia="Times New Roman" w:hAnsi="Times New Roman"/>
          <w:sz w:val="20"/>
          <w:szCs w:val="20"/>
        </w:rPr>
        <w:t xml:space="preserve"> : μ(p, V</w:t>
      </w:r>
      <w:r>
        <w:rPr>
          <w:rFonts w:ascii="Times New Roman" w:cs="Times New Roman" w:eastAsia="Times New Roman" w:hAnsi="Times New Roman"/>
          <w:sz w:val="20"/>
          <w:szCs w:val="20"/>
          <w:vertAlign w:val="subscript"/>
        </w:rPr>
        <w:t xml:space="preserve">DD</w:t>
      </w:r>
      <w:r>
        <w:rPr>
          <w:rFonts w:ascii="Times New Roman" w:cs="Times New Roman" w:eastAsia="Times New Roman" w:hAnsi="Times New Roman"/>
          <w:sz w:val="20"/>
          <w:szCs w:val="20"/>
        </w:rPr>
        <w:t xml:space="preserve">) − k·σ(p, V</w:t>
      </w:r>
      <w:r>
        <w:rPr>
          <w:rFonts w:ascii="Times New Roman" w:cs="Times New Roman" w:eastAsia="Times New Roman" w:hAnsi="Times New Roman"/>
          <w:sz w:val="20"/>
          <w:szCs w:val="20"/>
          <w:vertAlign w:val="subscript"/>
        </w:rPr>
        <w:t xml:space="preserve">DD</w:t>
      </w:r>
      <w:r>
        <w:rPr>
          <w:rFonts w:ascii="Times New Roman" w:cs="Times New Roman" w:eastAsia="Times New Roman" w:hAnsi="Times New Roman"/>
          <w:sz w:val="20"/>
          <w:szCs w:val="20"/>
        </w:rPr>
        <w:t xml:space="preserve">) ≥ 0 }</w:t>
      </w: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(2)</w:t>
      </w:r>
    </w:p>
    <w:p>
      <w:pPr>
        <w:spacing w:after="120" w:line="240"/>
        <w:ind w:firstLine="288"/>
        <w:jc w:val="both"/>
      </w:pPr>
      <w:r>
        <w:rPr>
          <w:rFonts w:ascii="Times New Roman" w:cs="Times New Roman" w:eastAsia="Times New Roman" w:hAnsi="Times New Roman"/>
          <w:sz w:val="20"/>
          <w:szCs w:val="20"/>
        </w:rPr>
        <w:t xml:space="preserve">where k is the yield-referenced tail multiplier set by the array size and the target failure probability. Two properties matter for device engineers.</w:t>
      </w:r>
    </w:p>
    <w:p>
      <w:pPr>
        <w:spacing w:after="120" w:line="240"/>
        <w:ind w:firstLine="288"/>
        <w:jc w:val="both"/>
      </w:pPr>
      <w:r>
        <w:rPr>
          <w:rFonts w:ascii="Times New Roman" w:cs="Times New Roman" w:eastAsia="Times New Roman" w:hAnsi="Times New Roman"/>
          <w:b/>
          <w:bCs/>
          <w:sz w:val="20"/>
          <w:szCs w:val="20"/>
        </w:rPr>
        <w:t xml:space="preserve">Physical transparency.</w:t>
      </w:r>
      <w:r>
        <w:rPr>
          <w:rFonts w:ascii="Times New Roman" w:cs="Times New Roman" w:eastAsia="Times New Roman" w:hAnsi="Times New Roman"/>
          <w:sz w:val="20"/>
          <w:szCs w:val="20"/>
        </w:rPr>
        <w:t xml:space="preserve"> The model explicitly separates how process variation moves the center of the margin distribution from how it changes the spread. This makes it possible to diagnose whether a V</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 shift stems from a global process drift or from increased local variability — a distinction a direct V</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 regression collapses.</w:t>
      </w:r>
    </w:p>
    <w:p>
      <w:pPr>
        <w:spacing w:after="120" w:line="240"/>
        <w:ind w:firstLine="288"/>
        <w:jc w:val="both"/>
      </w:pPr>
      <w:r>
        <w:rPr>
          <w:rFonts w:ascii="Times New Roman" w:cs="Times New Roman" w:eastAsia="Times New Roman" w:hAnsi="Times New Roman"/>
          <w:b/>
          <w:bCs/>
          <w:sz w:val="20"/>
          <w:szCs w:val="20"/>
        </w:rPr>
        <w:t xml:space="preserve">Robust inverse solving.</w:t>
      </w:r>
      <w:r>
        <w:rPr>
          <w:rFonts w:ascii="Times New Roman" w:cs="Times New Roman" w:eastAsia="Times New Roman" w:hAnsi="Times New Roman"/>
          <w:sz w:val="20"/>
          <w:szCs w:val="20"/>
        </w:rPr>
        <w:t xml:space="preserve"> Because the yield relation is analytic and monotonic in V</w:t>
      </w:r>
      <w:r>
        <w:rPr>
          <w:rFonts w:ascii="Times New Roman" w:cs="Times New Roman" w:eastAsia="Times New Roman" w:hAnsi="Times New Roman"/>
          <w:sz w:val="20"/>
          <w:szCs w:val="20"/>
          <w:vertAlign w:val="subscript"/>
        </w:rPr>
        <w:t xml:space="preserve">DD</w:t>
      </w:r>
      <w:r>
        <w:rPr>
          <w:rFonts w:ascii="Times New Roman" w:cs="Times New Roman" w:eastAsia="Times New Roman" w:hAnsi="Times New Roman"/>
          <w:sz w:val="20"/>
          <w:szCs w:val="20"/>
        </w:rPr>
        <w:t xml:space="preserve"> over the queried range, finding V</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 in the forward direction or the limiting process parameter in the inverse direction becomes a stable root-finding problem, avoiding the instability of black-box inversion. The pipeline is summarized in Fig. 1.</w:t>
      </w:r>
    </w:p>
    <w:p>
      <w:pPr>
        <w:sectPr>
          <w:type w:val="continuous"/>
          <w:pgSz w:w="12240" w:h="15840" w:orient="portrait"/>
          <w:pgMar w:top="1080" w:right="900" w:bottom="1440" w:left="900" w:header="708" w:footer="708" w:gutter="0"/>
          <w:pgNumType/>
          <w:cols w:space="360" w:num="2" w:equalWidth="true"/>
          <w:docGrid w:linePitch="360"/>
        </w:sectPr>
      </w:pPr>
    </w:p>
    <w:p>
      <w:pPr>
        <w:spacing w:after="60" w:before="160"/>
        <w:jc w:val="center"/>
      </w:pPr>
      <w:r>
        <w:drawing>
          <wp:inline distT="0" distB="0" distL="0" distR="0">
            <wp:extent cx="64008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1924050"/>
                    </a:xfrm>
                    <a:prstGeom prst="rect">
                      <a:avLst/>
                    </a:prstGeom>
                  </pic:spPr>
                </pic:pic>
              </a:graphicData>
            </a:graphic>
          </wp:inline>
        </w:drawing>
      </w:r>
    </w:p>
    <w:p>
      <w:pPr>
        <w:spacing w:after="200" w:line="220"/>
        <w:jc w:val="both"/>
      </w:pPr>
      <w:r>
        <w:rPr>
          <w:rFonts w:ascii="Times New Roman" w:cs="Times New Roman" w:eastAsia="Times New Roman" w:hAnsi="Times New Roman"/>
          <w:b/>
          <w:bCs/>
          <w:sz w:val="16"/>
          <w:szCs w:val="16"/>
        </w:rPr>
        <w:t xml:space="preserve">Fig. 1.</w:t>
      </w:r>
      <w:r>
        <w:rPr>
          <w:rFonts w:ascii="Times New Roman" w:cs="Times New Roman" w:eastAsia="Times New Roman" w:hAnsi="Times New Roman"/>
          <w:sz w:val="16"/>
          <w:szCs w:val="16"/>
        </w:rPr>
        <w:t xml:space="preserve">  Pipeline overview. Two Gaussian-process regressors predict the margin mean μ and standard deviation σ over the nine process axes and the supply voltage; the analytic yield relation of (1)–(2) converts those statistics to V</w:t>
      </w:r>
      <w:r>
        <w:rPr>
          <w:rFonts w:ascii="Times New Roman" w:cs="Times New Roman" w:eastAsia="Times New Roman" w:hAnsi="Times New Roman"/>
          <w:sz w:val="16"/>
          <w:szCs w:val="16"/>
          <w:vertAlign w:val="subscript"/>
        </w:rPr>
        <w:t xml:space="preserve">min</w:t>
      </w:r>
      <w:r>
        <w:rPr>
          <w:rFonts w:ascii="Times New Roman" w:cs="Times New Roman" w:eastAsia="Times New Roman" w:hAnsi="Times New Roman"/>
          <w:sz w:val="16"/>
          <w:szCs w:val="16"/>
        </w:rPr>
        <w:t xml:space="preserve">, and the same relation is inverted axis-wise to recover a process window.</w:t>
      </w:r>
    </w:p>
    <w:p>
      <w:pPr>
        <w:sectPr>
          <w:type w:val="continuous"/>
          <w:pgSz w:w="12240" w:h="15840" w:orient="portrait"/>
          <w:pgMar w:top="1080" w:right="900" w:bottom="1440" w:left="900" w:header="708" w:footer="708" w:gutter="0"/>
          <w:pgNumType/>
          <w:cols w:num="1"/>
          <w:docGrid w:linePitch="360"/>
        </w:sectPr>
      </w:pPr>
    </w:p>
    <w:p>
      <w:pPr>
        <w:pStyle w:val="Heading2"/>
        <w:spacing w:after="80" w:before="160"/>
        <w:jc w:val="left"/>
      </w:pPr>
      <w:r>
        <w:rPr>
          <w:rFonts w:ascii="Times New Roman" w:cs="Times New Roman" w:eastAsia="Times New Roman" w:hAnsi="Times New Roman"/>
          <w:i/>
          <w:iCs/>
          <w:sz w:val="20"/>
          <w:szCs w:val="20"/>
        </w:rPr>
        <w:t xml:space="preserve">B.  Capturing Process Continuity and Sensitivity</w:t>
      </w:r>
    </w:p>
    <w:p>
      <w:pPr>
        <w:spacing w:after="120" w:line="240"/>
        <w:jc w:val="both"/>
      </w:pPr>
      <w:r>
        <w:rPr>
          <w:rFonts w:ascii="Times New Roman" w:cs="Times New Roman" w:eastAsia="Times New Roman" w:hAnsi="Times New Roman"/>
          <w:sz w:val="20"/>
          <w:szCs w:val="20"/>
        </w:rPr>
        <w:t xml:space="preserve">To model the mapping from process space to margin statistics we use a Gaussian process (GP) regressor [10], [11]. In device-physics terms the GP acts as a smooth, physics-consistent interpolator: it assumes that a small change in a process parameter — a 1 nm shift in gate length, say — produces a small, continuous change in the margin statistics, respecting the continuity of semiconductor behavior.</w:t>
      </w:r>
    </w:p>
    <w:p>
      <w:pPr>
        <w:spacing w:after="120" w:line="240"/>
        <w:ind w:firstLine="288"/>
        <w:jc w:val="both"/>
      </w:pPr>
      <w:r>
        <w:rPr>
          <w:rFonts w:ascii="Times New Roman" w:cs="Times New Roman" w:eastAsia="Times New Roman" w:hAnsi="Times New Roman"/>
          <w:sz w:val="20"/>
          <w:szCs w:val="20"/>
        </w:rPr>
        <w:t xml:space="preserve">The model further uses automatic relevance determination (ARD) to learn a lengthscale per process axis. This lets the framework distinguish parameters whose variation produces rapid changes in stability, such as local V</w:t>
      </w:r>
      <w:r>
        <w:rPr>
          <w:rFonts w:ascii="Times New Roman" w:cs="Times New Roman" w:eastAsia="Times New Roman" w:hAnsi="Times New Roman"/>
          <w:sz w:val="20"/>
          <w:szCs w:val="20"/>
          <w:vertAlign w:val="subscript"/>
        </w:rPr>
        <w:t xml:space="preserve">th</w:t>
      </w:r>
      <w:r>
        <w:rPr>
          <w:rFonts w:ascii="Times New Roman" w:cs="Times New Roman" w:eastAsia="Times New Roman" w:hAnsi="Times New Roman"/>
          <w:sz w:val="20"/>
          <w:szCs w:val="20"/>
        </w:rPr>
        <w:t xml:space="preserve"> mismatch, from those that trend smoothly. The fitted lengthscales inform the model; the variance decomposition that quantifies risk is developed separately in Section V.</w:t>
      </w:r>
    </w:p>
    <w:p>
      <w:pPr>
        <w:pStyle w:val="Heading2"/>
        <w:spacing w:after="80" w:before="160"/>
        <w:jc w:val="left"/>
      </w:pPr>
      <w:r>
        <w:rPr>
          <w:rFonts w:ascii="Times New Roman" w:cs="Times New Roman" w:eastAsia="Times New Roman" w:hAnsi="Times New Roman"/>
          <w:i/>
          <w:iCs/>
          <w:sz w:val="20"/>
          <w:szCs w:val="20"/>
        </w:rPr>
        <w:t xml:space="preserve">C.  Inverse Query: From Electrical Target to Process Window</w:t>
      </w:r>
    </w:p>
    <w:p>
      <w:pPr>
        <w:spacing w:after="120" w:line="240"/>
        <w:jc w:val="both"/>
      </w:pPr>
      <w:r>
        <w:rPr>
          <w:rFonts w:ascii="Times New Roman" w:cs="Times New Roman" w:eastAsia="Times New Roman" w:hAnsi="Times New Roman"/>
          <w:sz w:val="20"/>
          <w:szCs w:val="20"/>
        </w:rPr>
        <w:t xml:space="preserve">A distinguishing feature of the framework is the inverse query, which reverses the conventional analysis flow. Instead of asking </w:t>
      </w:r>
      <w:r>
        <w:rPr>
          <w:rFonts w:ascii="Times New Roman" w:cs="Times New Roman" w:eastAsia="Times New Roman" w:hAnsi="Times New Roman"/>
          <w:i/>
          <w:iCs/>
          <w:sz w:val="20"/>
          <w:szCs w:val="20"/>
        </w:rPr>
        <w:t xml:space="preserve">what is the V_{min} at this process corner?</w:t>
      </w:r>
      <w:r>
        <w:rPr>
          <w:rFonts w:ascii="Times New Roman" w:cs="Times New Roman" w:eastAsia="Times New Roman" w:hAnsi="Times New Roman"/>
          <w:sz w:val="20"/>
          <w:szCs w:val="20"/>
        </w:rPr>
        <w:t xml:space="preserve">, the engineer asks </w:t>
      </w:r>
      <w:r>
        <w:rPr>
          <w:rFonts w:ascii="Times New Roman" w:cs="Times New Roman" w:eastAsia="Times New Roman" w:hAnsi="Times New Roman"/>
          <w:i/>
          <w:iCs/>
          <w:sz w:val="20"/>
          <w:szCs w:val="20"/>
        </w:rPr>
        <w:t xml:space="preserve">what process shift degrades V_{min} to our target limit?</w:t>
      </w:r>
    </w:p>
    <w:p>
      <w:pPr>
        <w:spacing w:after="120" w:line="240"/>
        <w:ind w:firstLine="288"/>
        <w:jc w:val="both"/>
      </w:pPr>
      <w:r>
        <w:rPr>
          <w:rFonts w:ascii="Times New Roman" w:cs="Times New Roman" w:eastAsia="Times New Roman" w:hAnsi="Times New Roman"/>
          <w:sz w:val="20"/>
          <w:szCs w:val="20"/>
        </w:rPr>
        <w:t xml:space="preserve">Mathematically, for a fixed target V</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 and yield we solve for the value of a single process axis p</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while holding the remaining axes fixed. Because the other coordinates are frozen, the problem is one-dimensional and is solved by bisection on an interval whose monotonicity has been verified. This maps the electrical specification boundary back into the process-control space, which is directly useful for:</w:t>
      </w:r>
    </w:p>
    <w:p>
      <w:pPr>
        <w:tabs>
          <w:tab w:val="left" w:pos="360"/>
        </w:tabs>
        <w:spacing w:after="40" w:line="240"/>
        <w:ind w:left="360" w:hanging="360"/>
        <w:jc w:val="both"/>
      </w:pP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ab/>
      </w:r>
      <w:r>
        <w:rPr>
          <w:rFonts w:ascii="Times New Roman" w:cs="Times New Roman" w:eastAsia="Times New Roman" w:hAnsi="Times New Roman"/>
          <w:b/>
          <w:bCs/>
          <w:sz w:val="20"/>
          <w:szCs w:val="20"/>
        </w:rPr>
        <w:t xml:space="preserve">Setting process specs.</w:t>
      </w:r>
      <w:r>
        <w:rPr>
          <w:rFonts w:ascii="Times New Roman" w:cs="Times New Roman" w:eastAsia="Times New Roman" w:hAnsi="Times New Roman"/>
          <w:sz w:val="20"/>
          <w:szCs w:val="20"/>
        </w:rPr>
        <w:t xml:space="preserve"> Defining realistic 3σ limits for V</w:t>
      </w:r>
      <w:r>
        <w:rPr>
          <w:rFonts w:ascii="Times New Roman" w:cs="Times New Roman" w:eastAsia="Times New Roman" w:hAnsi="Times New Roman"/>
          <w:sz w:val="20"/>
          <w:szCs w:val="20"/>
          <w:vertAlign w:val="subscript"/>
        </w:rPr>
        <w:t xml:space="preserve">th</w:t>
      </w:r>
      <w:r>
        <w:rPr>
          <w:rFonts w:ascii="Times New Roman" w:cs="Times New Roman" w:eastAsia="Times New Roman" w:hAnsi="Times New Roman"/>
          <w:sz w:val="20"/>
          <w:szCs w:val="20"/>
        </w:rPr>
        <w:t xml:space="preserve"> or gate length from actual circuit yield targets rather than from historical convention.</w:t>
      </w:r>
    </w:p>
    <w:p>
      <w:pPr>
        <w:tabs>
          <w:tab w:val="left" w:pos="360"/>
        </w:tabs>
        <w:spacing w:after="120" w:line="240"/>
        <w:ind w:left="360" w:hanging="360"/>
        <w:jc w:val="both"/>
      </w:pP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ab/>
      </w:r>
      <w:r>
        <w:rPr>
          <w:rFonts w:ascii="Times New Roman" w:cs="Times New Roman" w:eastAsia="Times New Roman" w:hAnsi="Times New Roman"/>
          <w:b/>
          <w:bCs/>
          <w:sz w:val="20"/>
          <w:szCs w:val="20"/>
        </w:rPr>
        <w:t xml:space="preserve">Yield debugging.</w:t>
      </w:r>
      <w:r>
        <w:rPr>
          <w:rFonts w:ascii="Times New Roman" w:cs="Times New Roman" w:eastAsia="Times New Roman" w:hAnsi="Times New Roman"/>
          <w:sz w:val="20"/>
          <w:szCs w:val="20"/>
        </w:rPr>
        <w:t xml:space="preserve"> Identifying the process parameter most likely responsible when silicon V</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 exceeds expectation.</w:t>
      </w:r>
    </w:p>
    <w:p>
      <w:pPr>
        <w:pStyle w:val="Heading1"/>
        <w:spacing w:after="120" w:before="240"/>
        <w:jc w:val="center"/>
      </w:pPr>
      <w:r>
        <w:rPr>
          <w:rFonts w:ascii="Times New Roman" w:cs="Times New Roman" w:eastAsia="Times New Roman" w:hAnsi="Times New Roman"/>
          <w:sz w:val="20"/>
          <w:szCs w:val="20"/>
        </w:rPr>
        <w:t xml:space="preserve">III.  Validation: Prediction Accuracy and Corner Generalization</w:t>
      </w:r>
    </w:p>
    <w:p>
      <w:pPr>
        <w:spacing w:after="120" w:line="240"/>
        <w:jc w:val="both"/>
      </w:pPr>
      <w:r>
        <w:rPr>
          <w:rFonts w:ascii="Times New Roman" w:cs="Times New Roman" w:eastAsia="Times New Roman" w:hAnsi="Times New Roman"/>
          <w:sz w:val="20"/>
          <w:szCs w:val="20"/>
        </w:rPr>
        <w:t xml:space="preserve">The framework was validated on silicon-calibrated simulation data from an advanced FinFET technology. Throughout this paper the reference values are independent circuit simulations, not silicon measurements. The evaluation focused on two metrics: prediction accuracy on unseen conditions, and generalization to standard PDK corners excluded from training.</w:t>
      </w:r>
    </w:p>
    <w:p>
      <w:pPr>
        <w:pStyle w:val="Heading2"/>
        <w:spacing w:after="80" w:before="160"/>
        <w:jc w:val="left"/>
      </w:pPr>
      <w:r>
        <w:rPr>
          <w:rFonts w:ascii="Times New Roman" w:cs="Times New Roman" w:eastAsia="Times New Roman" w:hAnsi="Times New Roman"/>
          <w:i/>
          <w:iCs/>
          <w:sz w:val="20"/>
          <w:szCs w:val="20"/>
        </w:rPr>
        <w:t xml:space="preserve">A.  Millivolt-Level Prediction Accuracy</w:t>
      </w:r>
    </w:p>
    <w:p>
      <w:pPr>
        <w:spacing w:after="120" w:line="240"/>
        <w:jc w:val="both"/>
      </w:pPr>
      <w:r>
        <w:rPr>
          <w:rFonts w:ascii="Times New Roman" w:cs="Times New Roman" w:eastAsia="Times New Roman" w:hAnsi="Times New Roman"/>
          <w:sz w:val="20"/>
          <w:szCs w:val="20"/>
        </w:rPr>
        <w:t xml:space="preserve">The model shows high fidelity in predicting V</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 across the process space: 3.98 mV RMSE for read and 5.65 mV for write on hold-out data (Table I, Fig. 2). Sub-5.65-mV accuracy is well inside the error budget required for early-stage design exploration, and the read and write errors now sit within roughly a factor of two of each other.</w:t>
      </w:r>
    </w:p>
    <w:p>
      <w:pPr>
        <w:spacing w:after="120" w:line="240"/>
        <w:ind w:firstLine="288"/>
        <w:jc w:val="both"/>
      </w:pPr>
      <w:r>
        <w:rPr>
          <w:rFonts w:ascii="Times New Roman" w:cs="Times New Roman" w:eastAsia="Times New Roman" w:hAnsi="Times New Roman"/>
          <w:sz w:val="20"/>
          <w:szCs w:val="20"/>
        </w:rPr>
        <w:t xml:space="preserve">The remaining read/write gap is a σ-model effect, not a difference in the switching physics. With the σ GP specified as a full-ARD kernel on log σ — the scale on which the MC observation noise sem</w:t>
      </w:r>
      <w:r>
        <w:rPr>
          <w:rFonts w:ascii="Times New Roman" w:cs="Times New Roman" w:eastAsia="Times New Roman" w:hAnsi="Times New Roman"/>
          <w:sz w:val="20"/>
          <w:szCs w:val="20"/>
          <w:vertAlign w:val="subscript"/>
        </w:rPr>
        <w:t xml:space="preserve">σ</w:t>
      </w:r>
      <w:r>
        <w:rPr>
          <w:rFonts w:ascii="Times New Roman" w:cs="Times New Roman" w:eastAsia="Times New Roman" w:hAnsi="Times New Roman"/>
          <w:sz w:val="20"/>
          <w:szCs w:val="20"/>
        </w:rPr>
        <w:t xml:space="preserve"> = σ/√(2N) is homoscedastic — the write σ fit (R² = 0.9880) is comparable to read (R² = 0.9971). An earlier additive-kernel, linear-σ specification produced a much weaker write σ fit and invited the explanation that the write margin is intrinsically harder to model because V</w:t>
      </w:r>
      <w:r>
        <w:rPr>
          <w:rFonts w:ascii="Times New Roman" w:cs="Times New Roman" w:eastAsia="Times New Roman" w:hAnsi="Times New Roman"/>
          <w:sz w:val="20"/>
          <w:szCs w:val="20"/>
          <w:vertAlign w:val="subscript"/>
        </w:rPr>
        <w:t xml:space="preserve">trip</w:t>
      </w:r>
      <w:r>
        <w:rPr>
          <w:rFonts w:ascii="Times New Roman" w:cs="Times New Roman" w:eastAsia="Times New Roman" w:hAnsi="Times New Roman"/>
          <w:sz w:val="20"/>
          <w:szCs w:val="20"/>
        </w:rPr>
        <w:t xml:space="preserve"> is a ratio of two drive strengths. That explanation does not survive: the gap was kernel misspecification. Since V</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 is the crossing of z = μ/σ, any σ error is inherited directly by V</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 which is why the σ kernel dominates the accuracy budget.</w:t>
      </w:r>
    </w:p>
    <w:p>
      <w:pPr>
        <w:spacing w:after="0" w:before="200"/>
        <w:jc w:val="center"/>
      </w:pPr>
      <w:r>
        <w:rPr>
          <w:rFonts w:ascii="Times New Roman" w:cs="Times New Roman" w:eastAsia="Times New Roman" w:hAnsi="Times New Roman"/>
          <w:sz w:val="16"/>
          <w:szCs w:val="16"/>
        </w:rPr>
        <w:t xml:space="preserve">TABLE I</w:t>
      </w:r>
    </w:p>
    <w:p>
      <w:pPr>
        <w:spacing w:after="60"/>
        <w:jc w:val="center"/>
      </w:pPr>
      <w:r>
        <w:rPr>
          <w:rFonts w:ascii="Times New Roman" w:cs="Times New Roman" w:eastAsia="Times New Roman" w:hAnsi="Times New Roman"/>
          <w:smallCaps/>
          <w:sz w:val="16"/>
          <w:szCs w:val="16"/>
        </w:rPr>
        <w:t xml:space="preserve">V</w:t>
      </w:r>
      <w:r>
        <w:rPr>
          <w:rFonts w:ascii="Times New Roman" w:cs="Times New Roman" w:eastAsia="Times New Roman" w:hAnsi="Times New Roman"/>
          <w:smallCaps/>
          <w:sz w:val="16"/>
          <w:szCs w:val="16"/>
          <w:vertAlign w:val="subscript"/>
        </w:rPr>
        <w:t xml:space="preserve">MIN</w:t>
      </w:r>
      <w:r>
        <w:rPr>
          <w:rFonts w:ascii="Times New Roman" w:cs="Times New Roman" w:eastAsia="Times New Roman" w:hAnsi="Times New Roman"/>
          <w:smallCaps/>
          <w:sz w:val="16"/>
          <w:szCs w:val="16"/>
        </w:rPr>
        <w:t xml:space="preserve"> PREDICTION ACCURACY</w:t>
      </w:r>
    </w:p>
    <w:tbl>
      <w:tblPr>
        <w:tblW w:type="dxa" w:w="5040"/>
        <w:tblBorders>
          <w:top w:val="single" w:color="000000" w:sz="4"/>
          <w:left w:val="single" w:color="000000" w:sz="4"/>
          <w:bottom w:val="single" w:color="000000" w:sz="4"/>
          <w:right w:val="single" w:color="000000" w:sz="4"/>
          <w:insideH w:val="single" w:color="808080" w:sz="2"/>
          <w:insideV w:val="single" w:color="808080" w:sz="2"/>
        </w:tblBorders>
      </w:tblPr>
      <w:tblGrid>
        <w:gridCol w:w="2117"/>
        <w:gridCol w:w="1462"/>
        <w:gridCol w:w="1461"/>
      </w:tblGrid>
      <w:tr>
        <w:trPr>
          <w:tblHeader/>
        </w:trPr>
        <w:tc>
          <w:tcPr>
            <w:tcW w:type="dxa" w:w="2117"/>
            <w:shd w:fill="F2F2F2" w:val="clear"/>
            <w:tcMar>
              <w:top w:type="dxa" w:w="40"/>
              <w:left w:type="dxa" w:w="80"/>
              <w:bottom w:type="dxa" w:w="40"/>
              <w:right w:type="dxa" w:w="80"/>
            </w:tcMar>
          </w:tcPr>
          <w:p>
            <w:pPr>
              <w:spacing w:line="220"/>
              <w:jc w:val="left"/>
            </w:pPr>
            <w:r>
              <w:rPr>
                <w:rFonts w:ascii="Times New Roman" w:cs="Times New Roman" w:eastAsia="Times New Roman" w:hAnsi="Times New Roman"/>
                <w:b/>
                <w:bCs/>
                <w:sz w:val="16"/>
                <w:szCs w:val="16"/>
              </w:rPr>
              <w:t xml:space="preserve">Test set</w:t>
            </w:r>
          </w:p>
        </w:tc>
        <w:tc>
          <w:tcPr>
            <w:tcW w:type="dxa" w:w="1462"/>
            <w:shd w:fill="F2F2F2" w:val="clear"/>
            <w:tcMar>
              <w:top w:type="dxa" w:w="40"/>
              <w:left w:type="dxa" w:w="80"/>
              <w:bottom w:type="dxa" w:w="40"/>
              <w:right w:type="dxa" w:w="80"/>
            </w:tcMar>
          </w:tcPr>
          <w:p>
            <w:pPr>
              <w:spacing w:line="220"/>
              <w:jc w:val="center"/>
            </w:pPr>
            <w:r>
              <w:rPr>
                <w:rFonts w:ascii="Times New Roman" w:cs="Times New Roman" w:eastAsia="Times New Roman" w:hAnsi="Times New Roman"/>
                <w:b/>
                <w:bCs/>
                <w:sz w:val="16"/>
                <w:szCs w:val="16"/>
              </w:rPr>
              <w:t xml:space="preserve">Read</w:t>
            </w:r>
          </w:p>
        </w:tc>
        <w:tc>
          <w:tcPr>
            <w:tcW w:type="dxa" w:w="1461"/>
            <w:shd w:fill="F2F2F2" w:val="clear"/>
            <w:tcMar>
              <w:top w:type="dxa" w:w="40"/>
              <w:left w:type="dxa" w:w="80"/>
              <w:bottom w:type="dxa" w:w="40"/>
              <w:right w:type="dxa" w:w="80"/>
            </w:tcMar>
          </w:tcPr>
          <w:p>
            <w:pPr>
              <w:spacing w:line="220"/>
              <w:jc w:val="center"/>
            </w:pPr>
            <w:r>
              <w:rPr>
                <w:rFonts w:ascii="Times New Roman" w:cs="Times New Roman" w:eastAsia="Times New Roman" w:hAnsi="Times New Roman"/>
                <w:b/>
                <w:bCs/>
                <w:sz w:val="16"/>
                <w:szCs w:val="16"/>
              </w:rPr>
              <w:t xml:space="preserve">Write</w:t>
            </w:r>
          </w:p>
        </w:tc>
      </w:tr>
      <w:tr>
        <w:tc>
          <w:tcPr>
            <w:tcW w:type="dxa" w:w="2117"/>
            <w:tcMar>
              <w:top w:type="dxa" w:w="40"/>
              <w:left w:type="dxa" w:w="80"/>
              <w:bottom w:type="dxa" w:w="40"/>
              <w:right w:type="dxa" w:w="80"/>
            </w:tcMar>
          </w:tcPr>
          <w:p>
            <w:pPr>
              <w:spacing w:line="220"/>
              <w:jc w:val="left"/>
            </w:pPr>
            <w:r>
              <w:rPr>
                <w:rFonts w:ascii="Times New Roman" w:cs="Times New Roman" w:eastAsia="Times New Roman" w:hAnsi="Times New Roman"/>
                <w:b w:val="false"/>
                <w:bCs w:val="false"/>
                <w:sz w:val="16"/>
                <w:szCs w:val="16"/>
              </w:rPr>
              <w:t xml:space="preserve">Hold-out conditions (RMSE)</w:t>
            </w:r>
          </w:p>
        </w:tc>
        <w:tc>
          <w:tcPr>
            <w:tcW w:type="dxa" w:w="1462"/>
            <w:tcMar>
              <w:top w:type="dxa" w:w="40"/>
              <w:left w:type="dxa" w:w="80"/>
              <w:bottom w:type="dxa" w:w="40"/>
              <w:right w:type="dxa" w:w="80"/>
            </w:tcMar>
          </w:tcPr>
          <w:p>
            <w:pPr>
              <w:spacing w:line="220"/>
              <w:jc w:val="center"/>
            </w:pPr>
            <w:r>
              <w:rPr>
                <w:rFonts w:ascii="Times New Roman" w:cs="Times New Roman" w:eastAsia="Times New Roman" w:hAnsi="Times New Roman"/>
                <w:b/>
                <w:bCs/>
                <w:sz w:val="16"/>
                <w:szCs w:val="16"/>
              </w:rPr>
              <w:t xml:space="preserve">3.98 mV</w:t>
            </w:r>
          </w:p>
        </w:tc>
        <w:tc>
          <w:tcPr>
            <w:tcW w:type="dxa" w:w="1461"/>
            <w:tcMar>
              <w:top w:type="dxa" w:w="40"/>
              <w:left w:type="dxa" w:w="80"/>
              <w:bottom w:type="dxa" w:w="40"/>
              <w:right w:type="dxa" w:w="80"/>
            </w:tcMar>
          </w:tcPr>
          <w:p>
            <w:pPr>
              <w:spacing w:line="220"/>
              <w:jc w:val="center"/>
            </w:pPr>
            <w:r>
              <w:rPr>
                <w:rFonts w:ascii="Times New Roman" w:cs="Times New Roman" w:eastAsia="Times New Roman" w:hAnsi="Times New Roman"/>
                <w:b/>
                <w:bCs/>
                <w:sz w:val="16"/>
                <w:szCs w:val="16"/>
              </w:rPr>
              <w:t xml:space="preserve">5.65 mV</w:t>
            </w:r>
          </w:p>
        </w:tc>
      </w:tr>
      <w:tr>
        <w:tc>
          <w:tcPr>
            <w:tcW w:type="dxa" w:w="2117"/>
            <w:tcMar>
              <w:top w:type="dxa" w:w="40"/>
              <w:left w:type="dxa" w:w="80"/>
              <w:bottom w:type="dxa" w:w="40"/>
              <w:right w:type="dxa" w:w="80"/>
            </w:tcMar>
          </w:tcPr>
          <w:p>
            <w:pPr>
              <w:spacing w:line="220"/>
              <w:jc w:val="left"/>
            </w:pPr>
            <w:r>
              <w:rPr>
                <w:rFonts w:ascii="Times New Roman" w:cs="Times New Roman" w:eastAsia="Times New Roman" w:hAnsi="Times New Roman"/>
                <w:b w:val="false"/>
                <w:bCs w:val="false"/>
                <w:sz w:val="16"/>
                <w:szCs w:val="16"/>
              </w:rPr>
              <w:t xml:space="preserve">Unseen PDK corners (RMSE)</w:t>
            </w:r>
          </w:p>
        </w:tc>
        <w:tc>
          <w:tcPr>
            <w:tcW w:type="dxa" w:w="1462"/>
            <w:tcMar>
              <w:top w:type="dxa" w:w="40"/>
              <w:left w:type="dxa" w:w="80"/>
              <w:bottom w:type="dxa" w:w="40"/>
              <w:right w:type="dxa" w:w="80"/>
            </w:tcMar>
          </w:tcPr>
          <w:p>
            <w:pPr>
              <w:spacing w:line="220"/>
              <w:jc w:val="center"/>
            </w:pPr>
            <w:r>
              <w:rPr>
                <w:rFonts w:ascii="Times New Roman" w:cs="Times New Roman" w:eastAsia="Times New Roman" w:hAnsi="Times New Roman"/>
                <w:b/>
                <w:bCs/>
                <w:sz w:val="16"/>
                <w:szCs w:val="16"/>
              </w:rPr>
              <w:t xml:space="preserve">8.5 mV</w:t>
            </w:r>
          </w:p>
        </w:tc>
        <w:tc>
          <w:tcPr>
            <w:tcW w:type="dxa" w:w="1461"/>
            <w:tcMar>
              <w:top w:type="dxa" w:w="40"/>
              <w:left w:type="dxa" w:w="80"/>
              <w:bottom w:type="dxa" w:w="40"/>
              <w:right w:type="dxa" w:w="80"/>
            </w:tcMar>
          </w:tcPr>
          <w:p>
            <w:pPr>
              <w:spacing w:line="220"/>
              <w:jc w:val="center"/>
            </w:pPr>
            <w:r>
              <w:rPr>
                <w:rFonts w:ascii="Times New Roman" w:cs="Times New Roman" w:eastAsia="Times New Roman" w:hAnsi="Times New Roman"/>
                <w:b/>
                <w:bCs/>
                <w:sz w:val="16"/>
                <w:szCs w:val="16"/>
              </w:rPr>
              <w:t xml:space="preserve">5.8 mV</w:t>
            </w:r>
          </w:p>
        </w:tc>
      </w:tr>
      <w:tr>
        <w:tc>
          <w:tcPr>
            <w:tcW w:type="dxa" w:w="2117"/>
            <w:tcMar>
              <w:top w:type="dxa" w:w="40"/>
              <w:left w:type="dxa" w:w="80"/>
              <w:bottom w:type="dxa" w:w="40"/>
              <w:right w:type="dxa" w:w="80"/>
            </w:tcMar>
          </w:tcPr>
          <w:p>
            <w:pPr>
              <w:spacing w:line="220"/>
              <w:jc w:val="left"/>
            </w:pPr>
            <w:r>
              <w:rPr>
                <w:rFonts w:ascii="Times New Roman" w:cs="Times New Roman" w:eastAsia="Times New Roman" w:hAnsi="Times New Roman"/>
                <w:b w:val="false"/>
                <w:bCs w:val="false"/>
                <w:sz w:val="16"/>
                <w:szCs w:val="16"/>
              </w:rPr>
              <w:t xml:space="preserve">Limiting corner identified</w:t>
            </w:r>
          </w:p>
        </w:tc>
        <w:tc>
          <w:tcPr>
            <w:tcW w:type="dxa" w:w="1462"/>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Correct</w:t>
            </w:r>
          </w:p>
        </w:tc>
        <w:tc>
          <w:tcPr>
            <w:tcW w:type="dxa" w:w="1461"/>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Correct</w:t>
            </w:r>
          </w:p>
        </w:tc>
      </w:tr>
      <w:tr>
        <w:tc>
          <w:tcPr>
            <w:tcW w:type="dxa" w:w="2117"/>
            <w:tcMar>
              <w:top w:type="dxa" w:w="40"/>
              <w:left w:type="dxa" w:w="80"/>
              <w:bottom w:type="dxa" w:w="40"/>
              <w:right w:type="dxa" w:w="80"/>
            </w:tcMar>
          </w:tcPr>
          <w:p>
            <w:pPr>
              <w:spacing w:line="220"/>
              <w:jc w:val="left"/>
            </w:pPr>
            <w:r>
              <w:rPr>
                <w:rFonts w:ascii="Times New Roman" w:cs="Times New Roman" w:eastAsia="Times New Roman" w:hAnsi="Times New Roman"/>
                <w:b w:val="false"/>
                <w:bCs w:val="false"/>
                <w:sz w:val="16"/>
                <w:szCs w:val="16"/>
              </w:rPr>
              <w:t xml:space="preserve">Margin σ fit (R²)</w:t>
            </w:r>
          </w:p>
        </w:tc>
        <w:tc>
          <w:tcPr>
            <w:tcW w:type="dxa" w:w="1462"/>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0.9971</w:t>
            </w:r>
          </w:p>
        </w:tc>
        <w:tc>
          <w:tcPr>
            <w:tcW w:type="dxa" w:w="1461"/>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0.9880</w:t>
            </w:r>
          </w:p>
        </w:tc>
      </w:tr>
    </w:tbl>
    <w:p>
      <w:pPr>
        <w:spacing w:after="200"/>
      </w:pPr>
    </w:p>
    <w:p>
      <w:pPr>
        <w:sectPr>
          <w:type w:val="continuous"/>
          <w:pgSz w:w="12240" w:h="15840" w:orient="portrait"/>
          <w:pgMar w:top="1080" w:right="900" w:bottom="1440" w:left="900" w:header="708" w:footer="708" w:gutter="0"/>
          <w:pgNumType/>
          <w:cols w:space="360" w:num="2" w:equalWidth="true"/>
          <w:docGrid w:linePitch="360"/>
        </w:sectPr>
      </w:pPr>
    </w:p>
    <w:p>
      <w:pPr>
        <w:spacing w:after="60" w:before="160"/>
        <w:jc w:val="center"/>
      </w:pPr>
      <w:r>
        <w:drawing>
          <wp:inline distT="0" distB="0" distL="0" distR="0">
            <wp:extent cx="64008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2647950"/>
                    </a:xfrm>
                    <a:prstGeom prst="rect">
                      <a:avLst/>
                    </a:prstGeom>
                  </pic:spPr>
                </pic:pic>
              </a:graphicData>
            </a:graphic>
          </wp:inline>
        </w:drawing>
      </w:r>
    </w:p>
    <w:p>
      <w:pPr>
        <w:spacing w:after="200" w:line="220"/>
        <w:jc w:val="both"/>
      </w:pPr>
      <w:r>
        <w:rPr>
          <w:rFonts w:ascii="Times New Roman" w:cs="Times New Roman" w:eastAsia="Times New Roman" w:hAnsi="Times New Roman"/>
          <w:b/>
          <w:bCs/>
          <w:sz w:val="16"/>
          <w:szCs w:val="16"/>
        </w:rPr>
        <w:t xml:space="preserve">Fig. 2.</w:t>
      </w:r>
      <w:r>
        <w:rPr>
          <w:rFonts w:ascii="Times New Roman" w:cs="Times New Roman" w:eastAsia="Times New Roman" w:hAnsi="Times New Roman"/>
          <w:sz w:val="16"/>
          <w:szCs w:val="16"/>
        </w:rPr>
        <w:t xml:space="preserve">  Reference-simulation versus predicted V</w:t>
      </w:r>
      <w:r>
        <w:rPr>
          <w:rFonts w:ascii="Times New Roman" w:cs="Times New Roman" w:eastAsia="Times New Roman" w:hAnsi="Times New Roman"/>
          <w:sz w:val="16"/>
          <w:szCs w:val="16"/>
          <w:vertAlign w:val="subscript"/>
        </w:rPr>
        <w:t xml:space="preserve">min</w:t>
      </w:r>
      <w:r>
        <w:rPr>
          <w:rFonts w:ascii="Times New Roman" w:cs="Times New Roman" w:eastAsia="Times New Roman" w:hAnsi="Times New Roman"/>
          <w:sz w:val="16"/>
          <w:szCs w:val="16"/>
        </w:rPr>
        <w:t xml:space="preserve"> on the hold-out conditions, read (left) and write (right). Hold-out RMSE is 3.98 mV and 5.65 mV respectively.</w:t>
      </w:r>
    </w:p>
    <w:p>
      <w:pPr>
        <w:sectPr>
          <w:type w:val="continuous"/>
          <w:pgSz w:w="12240" w:h="15840" w:orient="portrait"/>
          <w:pgMar w:top="1080" w:right="900" w:bottom="1440" w:left="900" w:header="708" w:footer="708" w:gutter="0"/>
          <w:pgNumType/>
          <w:cols w:num="1"/>
          <w:docGrid w:linePitch="360"/>
        </w:sectPr>
      </w:pPr>
    </w:p>
    <w:p>
      <w:pPr>
        <w:pStyle w:val="Heading2"/>
        <w:spacing w:after="80" w:before="160"/>
        <w:jc w:val="left"/>
      </w:pPr>
      <w:r>
        <w:rPr>
          <w:rFonts w:ascii="Times New Roman" w:cs="Times New Roman" w:eastAsia="Times New Roman" w:hAnsi="Times New Roman"/>
          <w:i/>
          <w:iCs/>
          <w:sz w:val="20"/>
          <w:szCs w:val="20"/>
        </w:rPr>
        <w:t xml:space="preserve">B.  Robustness to Unseen PDK Corners</w:t>
      </w:r>
    </w:p>
    <w:p>
      <w:pPr>
        <w:spacing w:after="120" w:line="240"/>
        <w:jc w:val="both"/>
      </w:pPr>
      <w:r>
        <w:rPr>
          <w:rFonts w:ascii="Times New Roman" w:cs="Times New Roman" w:eastAsia="Times New Roman" w:hAnsi="Times New Roman"/>
          <w:sz w:val="20"/>
          <w:szCs w:val="20"/>
        </w:rPr>
        <w:t xml:space="preserve">A critical test for any compact model is extrapolation to the standard industry corners — SSG, FFG, SFG, FSG — held out of the training set. The model achieved 8.5 mV (read) and 5.8 mV (write) RMSE on the four unseen corners, and identified the worst-case corner correctly for both read and write. Table II lists the per-corner results and Fig. 3 plots both modes on one axis.</w:t>
      </w:r>
    </w:p>
    <w:p>
      <w:pPr>
        <w:spacing w:after="120" w:line="240"/>
        <w:ind w:firstLine="288"/>
        <w:jc w:val="both"/>
      </w:pPr>
      <w:r>
        <w:rPr>
          <w:rFonts w:ascii="Times New Roman" w:cs="Times New Roman" w:eastAsia="Times New Roman" w:hAnsi="Times New Roman"/>
          <w:sz w:val="20"/>
          <w:szCs w:val="20"/>
        </w:rPr>
        <w:t xml:space="preserve">Two qualifications keep the claim honest. First, where two corners sit closer together than the corner RMSE, their predicted ordering is not supportable — the claim is that the </w:t>
      </w:r>
      <w:r>
        <w:rPr>
          <w:rFonts w:ascii="Times New Roman" w:cs="Times New Roman" w:eastAsia="Times New Roman" w:hAnsi="Times New Roman"/>
          <w:i/>
          <w:iCs/>
          <w:sz w:val="20"/>
          <w:szCs w:val="20"/>
        </w:rPr>
        <w:t xml:space="preserve">limiting</w:t>
      </w:r>
      <w:r>
        <w:rPr>
          <w:rFonts w:ascii="Times New Roman" w:cs="Times New Roman" w:eastAsia="Times New Roman" w:hAnsi="Times New Roman"/>
          <w:sz w:val="20"/>
          <w:szCs w:val="20"/>
        </w:rPr>
        <w:t xml:space="preserve"> corner is identified, not that corners a few millivolts apart are ranked. That is what sign-off uses in any case. Second, read and write are limited by </w:t>
      </w:r>
      <w:r>
        <w:rPr>
          <w:rFonts w:ascii="Times New Roman" w:cs="Times New Roman" w:eastAsia="Times New Roman" w:hAnsi="Times New Roman"/>
          <w:i/>
          <w:iCs/>
          <w:sz w:val="20"/>
          <w:szCs w:val="20"/>
        </w:rPr>
        <w:t xml:space="preserve">different</w:t>
      </w:r>
      <w:r>
        <w:rPr>
          <w:rFonts w:ascii="Times New Roman" w:cs="Times New Roman" w:eastAsia="Times New Roman" w:hAnsi="Times New Roman"/>
          <w:sz w:val="20"/>
          <w:szCs w:val="20"/>
        </w:rPr>
        <w:t xml:space="preserve"> corners (FSG and SFG respectively), each of which is censored below 0.4 V in the other mode, so a single-mode corner sweep sees only half the picture.</w:t>
      </w:r>
    </w:p>
    <w:p>
      <w:pPr>
        <w:spacing w:after="120" w:line="240"/>
        <w:ind w:firstLine="288"/>
        <w:jc w:val="both"/>
      </w:pPr>
      <w:r>
        <w:rPr>
          <w:rFonts w:ascii="Times New Roman" w:cs="Times New Roman" w:eastAsia="Times New Roman" w:hAnsi="Times New Roman"/>
          <w:sz w:val="20"/>
          <w:szCs w:val="20"/>
        </w:rPr>
        <w:t xml:space="preserve">These results confirm that the framework acts as a high-fidelity verification layer, filling the gaps between discrete PDK corners without the cost of full MC sweeps.</w:t>
      </w:r>
    </w:p>
    <w:p>
      <w:pPr>
        <w:sectPr>
          <w:type w:val="continuous"/>
          <w:pgSz w:w="12240" w:h="15840" w:orient="portrait"/>
          <w:pgMar w:top="1080" w:right="900" w:bottom="1440" w:left="900" w:header="708" w:footer="708" w:gutter="0"/>
          <w:pgNumType/>
          <w:cols w:space="360" w:num="2" w:equalWidth="true"/>
          <w:docGrid w:linePitch="360"/>
        </w:sectPr>
      </w:pPr>
    </w:p>
    <w:p>
      <w:pPr>
        <w:spacing w:after="0" w:before="200"/>
        <w:jc w:val="center"/>
      </w:pPr>
      <w:r>
        <w:rPr>
          <w:rFonts w:ascii="Times New Roman" w:cs="Times New Roman" w:eastAsia="Times New Roman" w:hAnsi="Times New Roman"/>
          <w:sz w:val="16"/>
          <w:szCs w:val="16"/>
        </w:rPr>
        <w:t xml:space="preserve">TABLE II</w:t>
      </w:r>
    </w:p>
    <w:p>
      <w:pPr>
        <w:spacing w:after="60"/>
        <w:jc w:val="center"/>
      </w:pPr>
      <w:r>
        <w:rPr>
          <w:rFonts w:ascii="Times New Roman" w:cs="Times New Roman" w:eastAsia="Times New Roman" w:hAnsi="Times New Roman"/>
          <w:smallCaps/>
          <w:sz w:val="16"/>
          <w:szCs w:val="16"/>
        </w:rPr>
        <w:t xml:space="preserve">V</w:t>
      </w:r>
      <w:r>
        <w:rPr>
          <w:rFonts w:ascii="Times New Roman" w:cs="Times New Roman" w:eastAsia="Times New Roman" w:hAnsi="Times New Roman"/>
          <w:smallCaps/>
          <w:sz w:val="16"/>
          <w:szCs w:val="16"/>
          <w:vertAlign w:val="subscript"/>
        </w:rPr>
        <w:t xml:space="preserve">MIN</w:t>
      </w:r>
      <w:r>
        <w:rPr>
          <w:rFonts w:ascii="Times New Roman" w:cs="Times New Roman" w:eastAsia="Times New Roman" w:hAnsi="Times New Roman"/>
          <w:smallCaps/>
          <w:sz w:val="16"/>
          <w:szCs w:val="16"/>
        </w:rPr>
        <w:t xml:space="preserve"> PER PDK CORNER — REFERENCE SIMULATION vs. SURROGATE</w:t>
      </w:r>
    </w:p>
    <w:tbl>
      <w:tblPr>
        <w:tblW w:type="dxa" w:w="10440"/>
        <w:tblBorders>
          <w:top w:val="single" w:color="000000" w:sz="4"/>
          <w:left w:val="single" w:color="000000" w:sz="4"/>
          <w:bottom w:val="single" w:color="000000" w:sz="4"/>
          <w:right w:val="single" w:color="000000" w:sz="4"/>
          <w:insideH w:val="single" w:color="808080" w:sz="2"/>
          <w:insideV w:val="single" w:color="808080" w:sz="2"/>
        </w:tblBorders>
      </w:tblPr>
      <w:tblGrid>
        <w:gridCol w:w="2714"/>
        <w:gridCol w:w="2575"/>
        <w:gridCol w:w="2575"/>
        <w:gridCol w:w="2576"/>
      </w:tblGrid>
      <w:tr>
        <w:trPr>
          <w:tblHeader/>
        </w:trPr>
        <w:tc>
          <w:tcPr>
            <w:tcW w:type="dxa" w:w="2714"/>
            <w:shd w:fill="F2F2F2" w:val="clear"/>
            <w:tcMar>
              <w:top w:type="dxa" w:w="40"/>
              <w:left w:type="dxa" w:w="80"/>
              <w:bottom w:type="dxa" w:w="40"/>
              <w:right w:type="dxa" w:w="80"/>
            </w:tcMar>
          </w:tcPr>
          <w:p>
            <w:pPr>
              <w:spacing w:line="220"/>
              <w:jc w:val="left"/>
            </w:pPr>
            <w:r>
              <w:rPr>
                <w:rFonts w:ascii="Times New Roman" w:cs="Times New Roman" w:eastAsia="Times New Roman" w:hAnsi="Times New Roman"/>
                <w:b/>
                <w:bCs/>
                <w:sz w:val="16"/>
                <w:szCs w:val="16"/>
              </w:rPr>
              <w:t xml:space="preserve">Corner</w:t>
            </w:r>
          </w:p>
        </w:tc>
        <w:tc>
          <w:tcPr>
            <w:tcW w:type="dxa" w:w="2575"/>
            <w:shd w:fill="F2F2F2" w:val="clear"/>
            <w:tcMar>
              <w:top w:type="dxa" w:w="40"/>
              <w:left w:type="dxa" w:w="80"/>
              <w:bottom w:type="dxa" w:w="40"/>
              <w:right w:type="dxa" w:w="80"/>
            </w:tcMar>
          </w:tcPr>
          <w:p>
            <w:pPr>
              <w:spacing w:line="220"/>
              <w:jc w:val="center"/>
            </w:pPr>
            <w:r>
              <w:rPr>
                <w:rFonts w:ascii="Times New Roman" w:cs="Times New Roman" w:eastAsia="Times New Roman" w:hAnsi="Times New Roman"/>
                <w:b/>
                <w:bCs/>
                <w:sz w:val="16"/>
                <w:szCs w:val="16"/>
              </w:rPr>
              <w:t xml:space="preserve">(ΔV</w:t>
            </w:r>
            <w:r>
              <w:rPr>
                <w:rFonts w:ascii="Times New Roman" w:cs="Times New Roman" w:eastAsia="Times New Roman" w:hAnsi="Times New Roman"/>
                <w:b/>
                <w:bCs/>
                <w:sz w:val="16"/>
                <w:szCs w:val="16"/>
                <w:vertAlign w:val="subscript"/>
              </w:rPr>
              <w:t xml:space="preserve">th,N</w:t>
            </w:r>
            <w:r>
              <w:rPr>
                <w:rFonts w:ascii="Times New Roman" w:cs="Times New Roman" w:eastAsia="Times New Roman" w:hAnsi="Times New Roman"/>
                <w:b/>
                <w:bCs/>
                <w:sz w:val="16"/>
                <w:szCs w:val="16"/>
              </w:rPr>
              <w:t xml:space="preserve">, ΔV</w:t>
            </w:r>
            <w:r>
              <w:rPr>
                <w:rFonts w:ascii="Times New Roman" w:cs="Times New Roman" w:eastAsia="Times New Roman" w:hAnsi="Times New Roman"/>
                <w:b/>
                <w:bCs/>
                <w:sz w:val="16"/>
                <w:szCs w:val="16"/>
                <w:vertAlign w:val="subscript"/>
              </w:rPr>
              <w:t xml:space="preserve">th,P</w:t>
            </w:r>
            <w:r>
              <w:rPr>
                <w:rFonts w:ascii="Times New Roman" w:cs="Times New Roman" w:eastAsia="Times New Roman" w:hAnsi="Times New Roman"/>
                <w:b/>
                <w:bCs/>
                <w:sz w:val="16"/>
                <w:szCs w:val="16"/>
              </w:rPr>
              <w:t xml:space="preserve">) mV</w:t>
            </w:r>
          </w:p>
        </w:tc>
        <w:tc>
          <w:tcPr>
            <w:tcW w:type="dxa" w:w="2575"/>
            <w:shd w:fill="F2F2F2" w:val="clear"/>
            <w:tcMar>
              <w:top w:type="dxa" w:w="40"/>
              <w:left w:type="dxa" w:w="80"/>
              <w:bottom w:type="dxa" w:w="40"/>
              <w:right w:type="dxa" w:w="80"/>
            </w:tcMar>
          </w:tcPr>
          <w:p>
            <w:pPr>
              <w:spacing w:line="220"/>
              <w:jc w:val="center"/>
            </w:pPr>
            <w:r>
              <w:rPr>
                <w:rFonts w:ascii="Times New Roman" w:cs="Times New Roman" w:eastAsia="Times New Roman" w:hAnsi="Times New Roman"/>
                <w:b/>
                <w:bCs/>
                <w:sz w:val="16"/>
                <w:szCs w:val="16"/>
              </w:rPr>
              <w:t xml:space="preserve">Read: ref → GP</w:t>
            </w:r>
          </w:p>
        </w:tc>
        <w:tc>
          <w:tcPr>
            <w:tcW w:type="dxa" w:w="2576"/>
            <w:shd w:fill="F2F2F2" w:val="clear"/>
            <w:tcMar>
              <w:top w:type="dxa" w:w="40"/>
              <w:left w:type="dxa" w:w="80"/>
              <w:bottom w:type="dxa" w:w="40"/>
              <w:right w:type="dxa" w:w="80"/>
            </w:tcMar>
          </w:tcPr>
          <w:p>
            <w:pPr>
              <w:spacing w:line="220"/>
              <w:jc w:val="center"/>
            </w:pPr>
            <w:r>
              <w:rPr>
                <w:rFonts w:ascii="Times New Roman" w:cs="Times New Roman" w:eastAsia="Times New Roman" w:hAnsi="Times New Roman"/>
                <w:b/>
                <w:bCs/>
                <w:sz w:val="16"/>
                <w:szCs w:val="16"/>
              </w:rPr>
              <w:t xml:space="preserve">Write: ref → GP</w:t>
            </w:r>
          </w:p>
        </w:tc>
      </w:tr>
      <w:tr>
        <w:tc>
          <w:tcPr>
            <w:tcW w:type="dxa" w:w="2714"/>
            <w:tcMar>
              <w:top w:type="dxa" w:w="40"/>
              <w:left w:type="dxa" w:w="80"/>
              <w:bottom w:type="dxa" w:w="40"/>
              <w:right w:type="dxa" w:w="80"/>
            </w:tcMar>
          </w:tcPr>
          <w:p>
            <w:pPr>
              <w:spacing w:line="220"/>
              <w:jc w:val="left"/>
            </w:pPr>
            <w:r>
              <w:rPr>
                <w:rFonts w:ascii="Times New Roman" w:cs="Times New Roman" w:eastAsia="Times New Roman" w:hAnsi="Times New Roman"/>
                <w:b/>
                <w:bCs/>
                <w:sz w:val="16"/>
                <w:szCs w:val="16"/>
              </w:rPr>
              <w:t xml:space="preserve">FSG</w:t>
            </w:r>
          </w:p>
        </w:tc>
        <w:tc>
          <w:tcPr>
            <w:tcW w:type="dxa" w:w="2575"/>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(-29.16, 38.64)</w:t>
            </w:r>
          </w:p>
        </w:tc>
        <w:tc>
          <w:tcPr>
            <w:tcW w:type="dxa" w:w="2575"/>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0.5903 → 0.5961  ← worst</w:t>
            </w:r>
          </w:p>
        </w:tc>
        <w:tc>
          <w:tcPr>
            <w:tcW w:type="dxa" w:w="2576"/>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clamped &lt; 0.4 V</w:t>
            </w:r>
          </w:p>
        </w:tc>
      </w:tr>
      <w:tr>
        <w:tc>
          <w:tcPr>
            <w:tcW w:type="dxa" w:w="2714"/>
            <w:tcMar>
              <w:top w:type="dxa" w:w="40"/>
              <w:left w:type="dxa" w:w="80"/>
              <w:bottom w:type="dxa" w:w="40"/>
              <w:right w:type="dxa" w:w="80"/>
            </w:tcMar>
          </w:tcPr>
          <w:p>
            <w:pPr>
              <w:spacing w:line="220"/>
              <w:jc w:val="left"/>
            </w:pPr>
            <w:r>
              <w:rPr>
                <w:rFonts w:ascii="Times New Roman" w:cs="Times New Roman" w:eastAsia="Times New Roman" w:hAnsi="Times New Roman"/>
                <w:b/>
                <w:bCs/>
                <w:sz w:val="16"/>
                <w:szCs w:val="16"/>
              </w:rPr>
              <w:t xml:space="preserve">SFG</w:t>
            </w:r>
          </w:p>
        </w:tc>
        <w:tc>
          <w:tcPr>
            <w:tcW w:type="dxa" w:w="2575"/>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(31.63, -36.76)</w:t>
            </w:r>
          </w:p>
        </w:tc>
        <w:tc>
          <w:tcPr>
            <w:tcW w:type="dxa" w:w="2575"/>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clamped &lt; 0.4 V</w:t>
            </w:r>
          </w:p>
        </w:tc>
        <w:tc>
          <w:tcPr>
            <w:tcW w:type="dxa" w:w="2576"/>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0.5924 → 0.5933  ← worst</w:t>
            </w:r>
          </w:p>
        </w:tc>
      </w:tr>
      <w:tr>
        <w:tc>
          <w:tcPr>
            <w:tcW w:type="dxa" w:w="2714"/>
            <w:tcMar>
              <w:top w:type="dxa" w:w="40"/>
              <w:left w:type="dxa" w:w="80"/>
              <w:bottom w:type="dxa" w:w="40"/>
              <w:right w:type="dxa" w:w="80"/>
            </w:tcMar>
          </w:tcPr>
          <w:p>
            <w:pPr>
              <w:spacing w:line="220"/>
              <w:jc w:val="left"/>
            </w:pPr>
            <w:r>
              <w:rPr>
                <w:rFonts w:ascii="Times New Roman" w:cs="Times New Roman" w:eastAsia="Times New Roman" w:hAnsi="Times New Roman"/>
                <w:b w:val="false"/>
                <w:bCs w:val="false"/>
                <w:sz w:val="16"/>
                <w:szCs w:val="16"/>
              </w:rPr>
              <w:t xml:space="preserve">FFG</w:t>
            </w:r>
          </w:p>
        </w:tc>
        <w:tc>
          <w:tcPr>
            <w:tcW w:type="dxa" w:w="2575"/>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(-36.42, -44.32)</w:t>
            </w:r>
          </w:p>
        </w:tc>
        <w:tc>
          <w:tcPr>
            <w:tcW w:type="dxa" w:w="2575"/>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0.4731 → 0.4633</w:t>
            </w:r>
          </w:p>
        </w:tc>
        <w:tc>
          <w:tcPr>
            <w:tcW w:type="dxa" w:w="2576"/>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0.4923 → 0.4824</w:t>
            </w:r>
          </w:p>
        </w:tc>
      </w:tr>
      <w:tr>
        <w:tc>
          <w:tcPr>
            <w:tcW w:type="dxa" w:w="2714"/>
            <w:tcMar>
              <w:top w:type="dxa" w:w="40"/>
              <w:left w:type="dxa" w:w="80"/>
              <w:bottom w:type="dxa" w:w="40"/>
              <w:right w:type="dxa" w:w="80"/>
            </w:tcMar>
          </w:tcPr>
          <w:p>
            <w:pPr>
              <w:spacing w:line="220"/>
              <w:jc w:val="left"/>
            </w:pPr>
            <w:r>
              <w:rPr>
                <w:rFonts w:ascii="Times New Roman" w:cs="Times New Roman" w:eastAsia="Times New Roman" w:hAnsi="Times New Roman"/>
                <w:b w:val="false"/>
                <w:bCs w:val="false"/>
                <w:sz w:val="16"/>
                <w:szCs w:val="16"/>
              </w:rPr>
              <w:t xml:space="preserve">SSG</w:t>
            </w:r>
          </w:p>
        </w:tc>
        <w:tc>
          <w:tcPr>
            <w:tcW w:type="dxa" w:w="2575"/>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(36.30, 44.80)</w:t>
            </w:r>
          </w:p>
        </w:tc>
        <w:tc>
          <w:tcPr>
            <w:tcW w:type="dxa" w:w="2575"/>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0.4672 → 0.4764</w:t>
            </w:r>
          </w:p>
        </w:tc>
        <w:tc>
          <w:tcPr>
            <w:tcW w:type="dxa" w:w="2576"/>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0.5335 → 0.5324</w:t>
            </w:r>
          </w:p>
        </w:tc>
      </w:tr>
    </w:tbl>
    <w:p>
      <w:pPr>
        <w:spacing w:after="200"/>
      </w:pPr>
    </w:p>
    <w:p>
      <w:pPr>
        <w:spacing w:after="60" w:before="160"/>
        <w:jc w:val="center"/>
      </w:pPr>
      <w:r>
        <w:drawing>
          <wp:inline distT="0" distB="0" distL="0" distR="0">
            <wp:extent cx="64008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2771775"/>
                    </a:xfrm>
                    <a:prstGeom prst="rect">
                      <a:avLst/>
                    </a:prstGeom>
                  </pic:spPr>
                </pic:pic>
              </a:graphicData>
            </a:graphic>
          </wp:inline>
        </w:drawing>
      </w:r>
    </w:p>
    <w:p>
      <w:pPr>
        <w:spacing w:after="200" w:line="220"/>
        <w:jc w:val="both"/>
      </w:pPr>
      <w:r>
        <w:rPr>
          <w:rFonts w:ascii="Times New Roman" w:cs="Times New Roman" w:eastAsia="Times New Roman" w:hAnsi="Times New Roman"/>
          <w:b/>
          <w:bCs/>
          <w:sz w:val="16"/>
          <w:szCs w:val="16"/>
        </w:rPr>
        <w:t xml:space="preserve">Fig. 3.</w:t>
      </w:r>
      <w:r>
        <w:rPr>
          <w:rFonts w:ascii="Times New Roman" w:cs="Times New Roman" w:eastAsia="Times New Roman" w:hAnsi="Times New Roman"/>
          <w:sz w:val="16"/>
          <w:szCs w:val="16"/>
        </w:rPr>
        <w:t xml:space="preserve">  V</w:t>
      </w:r>
      <w:r>
        <w:rPr>
          <w:rFonts w:ascii="Times New Roman" w:cs="Times New Roman" w:eastAsia="Times New Roman" w:hAnsi="Times New Roman"/>
          <w:sz w:val="16"/>
          <w:szCs w:val="16"/>
          <w:vertAlign w:val="subscript"/>
        </w:rPr>
        <w:t xml:space="preserve">min</w:t>
      </w:r>
      <w:r>
        <w:rPr>
          <w:rFonts w:ascii="Times New Roman" w:cs="Times New Roman" w:eastAsia="Times New Roman" w:hAnsi="Times New Roman"/>
          <w:sz w:val="16"/>
          <w:szCs w:val="16"/>
        </w:rPr>
        <w:t xml:space="preserve"> at the four PDK corners excluded from training, read and write on one axis. Outlined bars mark each mode's limiting corner — FSG for read, SFG for write — and the label above each pair is the surrogate-minus-reference error in millivolts.</w:t>
      </w:r>
    </w:p>
    <w:p>
      <w:pPr>
        <w:sectPr>
          <w:type w:val="continuous"/>
          <w:pgSz w:w="12240" w:h="15840" w:orient="portrait"/>
          <w:pgMar w:top="1080" w:right="900" w:bottom="1440" w:left="900" w:header="708" w:footer="708" w:gutter="0"/>
          <w:pgNumType/>
          <w:cols w:num="1"/>
          <w:docGrid w:linePitch="360"/>
        </w:sectPr>
      </w:pPr>
    </w:p>
    <w:p>
      <w:pPr>
        <w:pStyle w:val="Heading1"/>
        <w:spacing w:after="120" w:before="240"/>
        <w:jc w:val="center"/>
      </w:pPr>
      <w:r>
        <w:rPr>
          <w:rFonts w:ascii="Times New Roman" w:cs="Times New Roman" w:eastAsia="Times New Roman" w:hAnsi="Times New Roman"/>
          <w:sz w:val="20"/>
          <w:szCs w:val="20"/>
        </w:rPr>
        <w:t xml:space="preserve">IV.  Inverse Analysis: Deriving Process Specifications</w:t>
      </w:r>
    </w:p>
    <w:p>
      <w:pPr>
        <w:pStyle w:val="Heading2"/>
        <w:spacing w:after="80" w:before="160"/>
        <w:jc w:val="left"/>
      </w:pPr>
      <w:r>
        <w:rPr>
          <w:rFonts w:ascii="Times New Roman" w:cs="Times New Roman" w:eastAsia="Times New Roman" w:hAnsi="Times New Roman"/>
          <w:i/>
          <w:iCs/>
          <w:sz w:val="20"/>
          <w:szCs w:val="20"/>
        </w:rPr>
        <w:t xml:space="preserve">A.  Coordinate Recovery Accuracy</w:t>
      </w:r>
    </w:p>
    <w:p>
      <w:pPr>
        <w:spacing w:after="120" w:line="240"/>
        <w:jc w:val="both"/>
      </w:pPr>
      <w:r>
        <w:rPr>
          <w:rFonts w:ascii="Times New Roman" w:cs="Times New Roman" w:eastAsia="Times New Roman" w:hAnsi="Times New Roman"/>
          <w:sz w:val="20"/>
          <w:szCs w:val="20"/>
        </w:rPr>
        <w:t xml:space="preserve">The inverse capability turns the tool from a passive predictor into an active specification engine. We evaluated the model's ability to recover the threshold-voltage shift required to hit a specified target V</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 holding the other process axes fixed. The model recovers V</w:t>
      </w:r>
      <w:r>
        <w:rPr>
          <w:rFonts w:ascii="Times New Roman" w:cs="Times New Roman" w:eastAsia="Times New Roman" w:hAnsi="Times New Roman"/>
          <w:sz w:val="20"/>
          <w:szCs w:val="20"/>
          <w:vertAlign w:val="subscript"/>
        </w:rPr>
        <w:t xml:space="preserve">th</w:t>
      </w:r>
      <w:r>
        <w:rPr>
          <w:rFonts w:ascii="Times New Roman" w:cs="Times New Roman" w:eastAsia="Times New Roman" w:hAnsi="Times New Roman"/>
          <w:sz w:val="20"/>
          <w:szCs w:val="20"/>
        </w:rPr>
        <w:t xml:space="preserve"> shifts with 1.46–1.94 mV RMSE (Table III), and Fig. 4 shows the corresponding V</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 contours and the recovered specification boundary in the (ΔV</w:t>
      </w:r>
      <w:r>
        <w:rPr>
          <w:rFonts w:ascii="Times New Roman" w:cs="Times New Roman" w:eastAsia="Times New Roman" w:hAnsi="Times New Roman"/>
          <w:sz w:val="20"/>
          <w:szCs w:val="20"/>
          <w:vertAlign w:val="subscript"/>
        </w:rPr>
        <w:t xml:space="preserve">th,N</w:t>
      </w:r>
      <w:r>
        <w:rPr>
          <w:rFonts w:ascii="Times New Roman" w:cs="Times New Roman" w:eastAsia="Times New Roman" w:hAnsi="Times New Roman"/>
          <w:sz w:val="20"/>
          <w:szCs w:val="20"/>
        </w:rPr>
        <w:t xml:space="preserve">, ΔV</w:t>
      </w:r>
      <w:r>
        <w:rPr>
          <w:rFonts w:ascii="Times New Roman" w:cs="Times New Roman" w:eastAsia="Times New Roman" w:hAnsi="Times New Roman"/>
          <w:sz w:val="20"/>
          <w:szCs w:val="20"/>
          <w:vertAlign w:val="subscript"/>
        </w:rPr>
        <w:t xml:space="preserve">th,P</w:t>
      </w:r>
      <w:r>
        <w:rPr>
          <w:rFonts w:ascii="Times New Roman" w:cs="Times New Roman" w:eastAsia="Times New Roman" w:hAnsi="Times New Roman"/>
          <w:sz w:val="20"/>
          <w:szCs w:val="20"/>
        </w:rPr>
        <w:t xml:space="preserve">) plane.</w:t>
      </w:r>
    </w:p>
    <w:p>
      <w:pPr>
        <w:spacing w:after="0" w:before="200"/>
        <w:jc w:val="center"/>
      </w:pPr>
      <w:r>
        <w:rPr>
          <w:rFonts w:ascii="Times New Roman" w:cs="Times New Roman" w:eastAsia="Times New Roman" w:hAnsi="Times New Roman"/>
          <w:sz w:val="16"/>
          <w:szCs w:val="16"/>
        </w:rPr>
        <w:t xml:space="preserve">TABLE III</w:t>
      </w:r>
    </w:p>
    <w:p>
      <w:pPr>
        <w:spacing w:after="60"/>
        <w:jc w:val="center"/>
      </w:pPr>
      <w:r>
        <w:rPr>
          <w:rFonts w:ascii="Times New Roman" w:cs="Times New Roman" w:eastAsia="Times New Roman" w:hAnsi="Times New Roman"/>
          <w:smallCaps/>
          <w:sz w:val="16"/>
          <w:szCs w:val="16"/>
        </w:rPr>
        <w:t xml:space="preserve">INVERSE RECOVERY OF THRESHOLD-VOLTAGE SHIFT</w:t>
      </w:r>
    </w:p>
    <w:tbl>
      <w:tblPr>
        <w:tblW w:type="dxa" w:w="5040"/>
        <w:tblBorders>
          <w:top w:val="single" w:color="000000" w:sz="4"/>
          <w:left w:val="single" w:color="000000" w:sz="4"/>
          <w:bottom w:val="single" w:color="000000" w:sz="4"/>
          <w:right w:val="single" w:color="000000" w:sz="4"/>
          <w:insideH w:val="single" w:color="808080" w:sz="2"/>
          <w:insideV w:val="single" w:color="808080" w:sz="2"/>
        </w:tblBorders>
      </w:tblPr>
      <w:tblGrid>
        <w:gridCol w:w="1310"/>
        <w:gridCol w:w="1243"/>
        <w:gridCol w:w="1243"/>
        <w:gridCol w:w="1244"/>
      </w:tblGrid>
      <w:tr>
        <w:trPr>
          <w:tblHeader/>
        </w:trPr>
        <w:tc>
          <w:tcPr>
            <w:tcW w:type="dxa" w:w="1310"/>
            <w:shd w:fill="F2F2F2" w:val="clear"/>
            <w:tcMar>
              <w:top w:type="dxa" w:w="40"/>
              <w:left w:type="dxa" w:w="80"/>
              <w:bottom w:type="dxa" w:w="40"/>
              <w:right w:type="dxa" w:w="80"/>
            </w:tcMar>
          </w:tcPr>
          <w:p>
            <w:pPr>
              <w:spacing w:line="220"/>
              <w:jc w:val="left"/>
            </w:pPr>
            <w:r>
              <w:rPr>
                <w:rFonts w:ascii="Times New Roman" w:cs="Times New Roman" w:eastAsia="Times New Roman" w:hAnsi="Times New Roman"/>
                <w:b/>
                <w:bCs/>
                <w:sz w:val="16"/>
                <w:szCs w:val="16"/>
              </w:rPr>
              <w:t xml:space="preserve">Recovered axis</w:t>
            </w:r>
          </w:p>
        </w:tc>
        <w:tc>
          <w:tcPr>
            <w:tcW w:type="dxa" w:w="1243"/>
            <w:shd w:fill="F2F2F2" w:val="clear"/>
            <w:tcMar>
              <w:top w:type="dxa" w:w="40"/>
              <w:left w:type="dxa" w:w="80"/>
              <w:bottom w:type="dxa" w:w="40"/>
              <w:right w:type="dxa" w:w="80"/>
            </w:tcMar>
          </w:tcPr>
          <w:p>
            <w:pPr>
              <w:spacing w:line="220"/>
              <w:jc w:val="center"/>
            </w:pPr>
            <w:r>
              <w:rPr>
                <w:rFonts w:ascii="Times New Roman" w:cs="Times New Roman" w:eastAsia="Times New Roman" w:hAnsi="Times New Roman"/>
                <w:b/>
                <w:bCs/>
                <w:sz w:val="16"/>
                <w:szCs w:val="16"/>
              </w:rPr>
              <w:t xml:space="preserve">RMSE</w:t>
            </w:r>
          </w:p>
        </w:tc>
        <w:tc>
          <w:tcPr>
            <w:tcW w:type="dxa" w:w="1243"/>
            <w:shd w:fill="F2F2F2" w:val="clear"/>
            <w:tcMar>
              <w:top w:type="dxa" w:w="40"/>
              <w:left w:type="dxa" w:w="80"/>
              <w:bottom w:type="dxa" w:w="40"/>
              <w:right w:type="dxa" w:w="80"/>
            </w:tcMar>
          </w:tcPr>
          <w:p>
            <w:pPr>
              <w:spacing w:line="220"/>
              <w:jc w:val="center"/>
            </w:pPr>
            <w:r>
              <w:rPr>
                <w:rFonts w:ascii="Times New Roman" w:cs="Times New Roman" w:eastAsia="Times New Roman" w:hAnsi="Times New Roman"/>
                <w:b/>
                <w:bCs/>
                <w:sz w:val="16"/>
                <w:szCs w:val="16"/>
              </w:rPr>
              <w:t xml:space="preserve">Median</w:t>
            </w:r>
          </w:p>
        </w:tc>
        <w:tc>
          <w:tcPr>
            <w:tcW w:type="dxa" w:w="1244"/>
            <w:shd w:fill="F2F2F2" w:val="clear"/>
            <w:tcMar>
              <w:top w:type="dxa" w:w="40"/>
              <w:left w:type="dxa" w:w="80"/>
              <w:bottom w:type="dxa" w:w="40"/>
              <w:right w:type="dxa" w:w="80"/>
            </w:tcMar>
          </w:tcPr>
          <w:p>
            <w:pPr>
              <w:spacing w:line="220"/>
              <w:jc w:val="center"/>
            </w:pPr>
            <w:r>
              <w:rPr>
                <w:rFonts w:ascii="Times New Roman" w:cs="Times New Roman" w:eastAsia="Times New Roman" w:hAnsi="Times New Roman"/>
                <w:b/>
                <w:bCs/>
                <w:sz w:val="16"/>
                <w:szCs w:val="16"/>
              </w:rPr>
              <w:t xml:space="preserve">Bias</w:t>
            </w:r>
          </w:p>
        </w:tc>
      </w:tr>
      <w:tr>
        <w:tc>
          <w:tcPr>
            <w:tcW w:type="dxa" w:w="1310"/>
            <w:tcMar>
              <w:top w:type="dxa" w:w="40"/>
              <w:left w:type="dxa" w:w="80"/>
              <w:bottom w:type="dxa" w:w="40"/>
              <w:right w:type="dxa" w:w="80"/>
            </w:tcMar>
          </w:tcPr>
          <w:p>
            <w:pPr>
              <w:spacing w:line="220"/>
              <w:jc w:val="left"/>
            </w:pPr>
            <w:r>
              <w:rPr>
                <w:rFonts w:ascii="Times New Roman" w:cs="Times New Roman" w:eastAsia="Times New Roman" w:hAnsi="Times New Roman"/>
                <w:b w:val="false"/>
                <w:bCs w:val="false"/>
                <w:sz w:val="16"/>
                <w:szCs w:val="16"/>
              </w:rPr>
              <w:t xml:space="preserve">ΔV</w:t>
            </w:r>
            <w:r>
              <w:rPr>
                <w:rFonts w:ascii="Times New Roman" w:cs="Times New Roman" w:eastAsia="Times New Roman" w:hAnsi="Times New Roman"/>
                <w:b w:val="false"/>
                <w:bCs w:val="false"/>
                <w:sz w:val="16"/>
                <w:szCs w:val="16"/>
                <w:vertAlign w:val="subscript"/>
              </w:rPr>
              <w:t xml:space="preserve">th,N</w:t>
            </w:r>
            <w:r>
              <w:rPr>
                <w:rFonts w:ascii="Times New Roman" w:cs="Times New Roman" w:eastAsia="Times New Roman" w:hAnsi="Times New Roman"/>
                <w:b w:val="false"/>
                <w:bCs w:val="false"/>
                <w:sz w:val="16"/>
                <w:szCs w:val="16"/>
              </w:rPr>
              <w:t xml:space="preserve"> (NMOS)</w:t>
            </w:r>
          </w:p>
        </w:tc>
        <w:tc>
          <w:tcPr>
            <w:tcW w:type="dxa" w:w="1243"/>
            <w:tcMar>
              <w:top w:type="dxa" w:w="40"/>
              <w:left w:type="dxa" w:w="80"/>
              <w:bottom w:type="dxa" w:w="40"/>
              <w:right w:type="dxa" w:w="80"/>
            </w:tcMar>
          </w:tcPr>
          <w:p>
            <w:pPr>
              <w:spacing w:line="220"/>
              <w:jc w:val="center"/>
            </w:pPr>
            <w:r>
              <w:rPr>
                <w:rFonts w:ascii="Times New Roman" w:cs="Times New Roman" w:eastAsia="Times New Roman" w:hAnsi="Times New Roman"/>
                <w:b/>
                <w:bCs/>
                <w:sz w:val="16"/>
                <w:szCs w:val="16"/>
              </w:rPr>
              <w:t xml:space="preserve">1.46 mV</w:t>
            </w:r>
          </w:p>
        </w:tc>
        <w:tc>
          <w:tcPr>
            <w:tcW w:type="dxa" w:w="1243"/>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1.11 mV</w:t>
            </w:r>
          </w:p>
        </w:tc>
        <w:tc>
          <w:tcPr>
            <w:tcW w:type="dxa" w:w="1244"/>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0.70 mV</w:t>
            </w:r>
          </w:p>
        </w:tc>
      </w:tr>
      <w:tr>
        <w:tc>
          <w:tcPr>
            <w:tcW w:type="dxa" w:w="1310"/>
            <w:tcMar>
              <w:top w:type="dxa" w:w="40"/>
              <w:left w:type="dxa" w:w="80"/>
              <w:bottom w:type="dxa" w:w="40"/>
              <w:right w:type="dxa" w:w="80"/>
            </w:tcMar>
          </w:tcPr>
          <w:p>
            <w:pPr>
              <w:spacing w:line="220"/>
              <w:jc w:val="left"/>
            </w:pPr>
            <w:r>
              <w:rPr>
                <w:rFonts w:ascii="Times New Roman" w:cs="Times New Roman" w:eastAsia="Times New Roman" w:hAnsi="Times New Roman"/>
                <w:b w:val="false"/>
                <w:bCs w:val="false"/>
                <w:sz w:val="16"/>
                <w:szCs w:val="16"/>
              </w:rPr>
              <w:t xml:space="preserve">ΔV</w:t>
            </w:r>
            <w:r>
              <w:rPr>
                <w:rFonts w:ascii="Times New Roman" w:cs="Times New Roman" w:eastAsia="Times New Roman" w:hAnsi="Times New Roman"/>
                <w:b w:val="false"/>
                <w:bCs w:val="false"/>
                <w:sz w:val="16"/>
                <w:szCs w:val="16"/>
                <w:vertAlign w:val="subscript"/>
              </w:rPr>
              <w:t xml:space="preserve">th,P</w:t>
            </w:r>
            <w:r>
              <w:rPr>
                <w:rFonts w:ascii="Times New Roman" w:cs="Times New Roman" w:eastAsia="Times New Roman" w:hAnsi="Times New Roman"/>
                <w:b w:val="false"/>
                <w:bCs w:val="false"/>
                <w:sz w:val="16"/>
                <w:szCs w:val="16"/>
              </w:rPr>
              <w:t xml:space="preserve"> (PMOS)</w:t>
            </w:r>
          </w:p>
        </w:tc>
        <w:tc>
          <w:tcPr>
            <w:tcW w:type="dxa" w:w="1243"/>
            <w:tcMar>
              <w:top w:type="dxa" w:w="40"/>
              <w:left w:type="dxa" w:w="80"/>
              <w:bottom w:type="dxa" w:w="40"/>
              <w:right w:type="dxa" w:w="80"/>
            </w:tcMar>
          </w:tcPr>
          <w:p>
            <w:pPr>
              <w:spacing w:line="220"/>
              <w:jc w:val="center"/>
            </w:pPr>
            <w:r>
              <w:rPr>
                <w:rFonts w:ascii="Times New Roman" w:cs="Times New Roman" w:eastAsia="Times New Roman" w:hAnsi="Times New Roman"/>
                <w:b/>
                <w:bCs/>
                <w:sz w:val="16"/>
                <w:szCs w:val="16"/>
              </w:rPr>
              <w:t xml:space="preserve">1.94 mV</w:t>
            </w:r>
          </w:p>
        </w:tc>
        <w:tc>
          <w:tcPr>
            <w:tcW w:type="dxa" w:w="1243"/>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1.48 mV</w:t>
            </w:r>
          </w:p>
        </w:tc>
        <w:tc>
          <w:tcPr>
            <w:tcW w:type="dxa" w:w="1244"/>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+-0.97 mV</w:t>
            </w:r>
          </w:p>
        </w:tc>
      </w:tr>
    </w:tbl>
    <w:p>
      <w:pPr>
        <w:spacing w:after="200"/>
      </w:pPr>
    </w:p>
    <w:p>
      <w:pPr>
        <w:spacing w:after="120" w:line="240"/>
        <w:ind w:firstLine="288"/>
        <w:jc w:val="both"/>
      </w:pPr>
      <w:r>
        <w:rPr>
          <w:rFonts w:ascii="Times New Roman" w:cs="Times New Roman" w:eastAsia="Times New Roman" w:hAnsi="Times New Roman"/>
          <w:sz w:val="20"/>
          <w:szCs w:val="20"/>
        </w:rPr>
        <w:t xml:space="preserve">This accuracy lets process-integration teams tighten or loosen process windows on the basis of actual circuit sensitivity. If the analysis shows that a 5 mV V</w:t>
      </w:r>
      <w:r>
        <w:rPr>
          <w:rFonts w:ascii="Times New Roman" w:cs="Times New Roman" w:eastAsia="Times New Roman" w:hAnsi="Times New Roman"/>
          <w:sz w:val="20"/>
          <w:szCs w:val="20"/>
          <w:vertAlign w:val="subscript"/>
        </w:rPr>
        <w:t xml:space="preserve">th</w:t>
      </w:r>
      <w:r>
        <w:rPr>
          <w:rFonts w:ascii="Times New Roman" w:cs="Times New Roman" w:eastAsia="Times New Roman" w:hAnsi="Times New Roman"/>
          <w:sz w:val="20"/>
          <w:szCs w:val="20"/>
        </w:rPr>
        <w:t xml:space="preserve"> shift causes a V</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 violation, the process spec can be set with confidence at ±15 mV (3σ). The direct mapping from an electrical target to a process limit streamlines the design-technology co-optimization (DTCO) loop, and because the inverse runs on the already-validated surrogate, no additional simulation campaign is needed per query.</w:t>
      </w:r>
    </w:p>
    <w:p>
      <w:pPr>
        <w:spacing w:after="60" w:before="160"/>
        <w:jc w:val="center"/>
      </w:pPr>
      <w:r>
        <w:drawing>
          <wp:inline distT="0" distB="0" distL="0" distR="0">
            <wp:extent cx="31051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05150" cy="2667000"/>
                    </a:xfrm>
                    <a:prstGeom prst="rect">
                      <a:avLst/>
                    </a:prstGeom>
                  </pic:spPr>
                </pic:pic>
              </a:graphicData>
            </a:graphic>
          </wp:inline>
        </w:drawing>
      </w:r>
    </w:p>
    <w:p>
      <w:pPr>
        <w:spacing w:after="200" w:line="220"/>
        <w:jc w:val="left"/>
      </w:pPr>
      <w:r>
        <w:rPr>
          <w:rFonts w:ascii="Times New Roman" w:cs="Times New Roman" w:eastAsia="Times New Roman" w:hAnsi="Times New Roman"/>
          <w:b/>
          <w:bCs/>
          <w:sz w:val="16"/>
          <w:szCs w:val="16"/>
        </w:rPr>
        <w:t xml:space="preserve">Fig. 4.</w:t>
      </w:r>
      <w:r>
        <w:rPr>
          <w:rFonts w:ascii="Times New Roman" w:cs="Times New Roman" w:eastAsia="Times New Roman" w:hAnsi="Times New Roman"/>
          <w:sz w:val="16"/>
          <w:szCs w:val="16"/>
        </w:rPr>
        <w:t xml:space="preserve">  Cell V</w:t>
      </w:r>
      <w:r>
        <w:rPr>
          <w:rFonts w:ascii="Times New Roman" w:cs="Times New Roman" w:eastAsia="Times New Roman" w:hAnsi="Times New Roman"/>
          <w:sz w:val="16"/>
          <w:szCs w:val="16"/>
          <w:vertAlign w:val="subscript"/>
        </w:rPr>
        <w:t xml:space="preserve">min</w:t>
      </w:r>
      <w:r>
        <w:rPr>
          <w:rFonts w:ascii="Times New Roman" w:cs="Times New Roman" w:eastAsia="Times New Roman" w:hAnsi="Times New Roman"/>
          <w:sz w:val="16"/>
          <w:szCs w:val="16"/>
        </w:rPr>
        <w:t xml:space="preserve"> = max(read, write) over the (ΔV</w:t>
      </w:r>
      <w:r>
        <w:rPr>
          <w:rFonts w:ascii="Times New Roman" w:cs="Times New Roman" w:eastAsia="Times New Roman" w:hAnsi="Times New Roman"/>
          <w:sz w:val="16"/>
          <w:szCs w:val="16"/>
          <w:vertAlign w:val="subscript"/>
        </w:rPr>
        <w:t xml:space="preserve">th,N</w:t>
      </w:r>
      <w:r>
        <w:rPr>
          <w:rFonts w:ascii="Times New Roman" w:cs="Times New Roman" w:eastAsia="Times New Roman" w:hAnsi="Times New Roman"/>
          <w:sz w:val="16"/>
          <w:szCs w:val="16"/>
        </w:rPr>
        <w:t xml:space="preserve">, ΔV</w:t>
      </w:r>
      <w:r>
        <w:rPr>
          <w:rFonts w:ascii="Times New Roman" w:cs="Times New Roman" w:eastAsia="Times New Roman" w:hAnsi="Times New Roman"/>
          <w:sz w:val="16"/>
          <w:szCs w:val="16"/>
          <w:vertAlign w:val="subscript"/>
        </w:rPr>
        <w:t xml:space="preserve">th,P</w:t>
      </w:r>
      <w:r>
        <w:rPr>
          <w:rFonts w:ascii="Times New Roman" w:cs="Times New Roman" w:eastAsia="Times New Roman" w:hAnsi="Times New Roman"/>
          <w:sz w:val="16"/>
          <w:szCs w:val="16"/>
        </w:rPr>
        <w:t xml:space="preserve">) plane, with each mode's V</w:t>
      </w:r>
      <w:r>
        <w:rPr>
          <w:rFonts w:ascii="Times New Roman" w:cs="Times New Roman" w:eastAsia="Times New Roman" w:hAnsi="Times New Roman"/>
          <w:sz w:val="16"/>
          <w:szCs w:val="16"/>
          <w:vertAlign w:val="subscript"/>
        </w:rPr>
        <w:t xml:space="preserve">T0</w:t>
      </w:r>
      <w:r>
        <w:rPr>
          <w:rFonts w:ascii="Times New Roman" w:cs="Times New Roman" w:eastAsia="Times New Roman" w:hAnsi="Times New Roman"/>
          <w:sz w:val="16"/>
          <w:szCs w:val="16"/>
        </w:rPr>
        <w:t xml:space="preserve"> boundary.</w:t>
      </w:r>
    </w:p>
    <w:p>
      <w:pPr>
        <w:pStyle w:val="Heading2"/>
        <w:spacing w:after="80" w:before="160"/>
        <w:jc w:val="left"/>
      </w:pPr>
      <w:r>
        <w:rPr>
          <w:rFonts w:ascii="Times New Roman" w:cs="Times New Roman" w:eastAsia="Times New Roman" w:hAnsi="Times New Roman"/>
          <w:i/>
          <w:iCs/>
          <w:sz w:val="20"/>
          <w:szCs w:val="20"/>
        </w:rPr>
        <w:t xml:space="preserve">B.  Scenario: Meeting a 50 mV Lower V</w:t>
      </w:r>
      <w:r>
        <w:rPr>
          <w:rFonts w:ascii="Times New Roman" w:cs="Times New Roman" w:eastAsia="Times New Roman" w:hAnsi="Times New Roman"/>
          <w:i/>
          <w:iCs/>
          <w:sz w:val="20"/>
          <w:szCs w:val="20"/>
          <w:vertAlign w:val="subscript"/>
        </w:rPr>
        <w:t xml:space="preserve">min</w:t>
      </w:r>
      <w:r>
        <w:rPr>
          <w:rFonts w:ascii="Times New Roman" w:cs="Times New Roman" w:eastAsia="Times New Roman" w:hAnsi="Times New Roman"/>
          <w:i/>
          <w:iCs/>
          <w:sz w:val="20"/>
          <w:szCs w:val="20"/>
        </w:rPr>
        <w:t xml:space="preserve"> Target</w:t>
      </w:r>
    </w:p>
    <w:p>
      <w:pPr>
        <w:spacing w:after="120" w:line="240"/>
        <w:jc w:val="both"/>
      </w:pPr>
      <w:r>
        <w:rPr>
          <w:rFonts w:ascii="Times New Roman" w:cs="Times New Roman" w:eastAsia="Times New Roman" w:hAnsi="Times New Roman"/>
          <w:sz w:val="20"/>
          <w:szCs w:val="20"/>
        </w:rPr>
        <w:t xml:space="preserve">The same machinery answers the question a customer actually asks. Suppose the target moves from V</w:t>
      </w:r>
      <w:r>
        <w:rPr>
          <w:rFonts w:ascii="Times New Roman" w:cs="Times New Roman" w:eastAsia="Times New Roman" w:hAnsi="Times New Roman"/>
          <w:sz w:val="20"/>
          <w:szCs w:val="20"/>
          <w:vertAlign w:val="subscript"/>
        </w:rPr>
        <w:t xml:space="preserve">T0</w:t>
      </w:r>
      <w:r>
        <w:rPr>
          <w:rFonts w:ascii="Times New Roman" w:cs="Times New Roman" w:eastAsia="Times New Roman" w:hAnsi="Times New Roman"/>
          <w:sz w:val="20"/>
          <w:szCs w:val="20"/>
        </w:rPr>
        <w:t xml:space="preserve"> = 0.625 V down to 0.575 V. Section III-B established that FSG limits read and SFG limits write, and that each is censored below 0.4 V in the other mode, so both Vmin(FSG, read) and Vmin(SFG, write) must clear the new target — today they exceed it by 21.1 mV and 18.3 mV. Treating each improvement lever as the axis to solve for, the same one-dimensional bisection returns how far that lever has to move (Table IV). The levers that reach it on their own are NMOS local-σ, global Vth corner, while PMOS local-σ cannot inside the box. The smallest single ask is a 10.9 % reduction in NMOS local-σ. Splitting the burden across both local-σ axes drops each to 7.8 %. Fig. 5 draws the resulting passing window for each case, with the read and write boundaries on one plane; the shipped window is their intersection, not either one alone.</w:t>
      </w:r>
    </w:p>
    <w:p>
      <w:pPr>
        <w:sectPr>
          <w:type w:val="continuous"/>
          <w:pgSz w:w="12240" w:h="15840" w:orient="portrait"/>
          <w:pgMar w:top="1080" w:right="900" w:bottom="1440" w:left="900" w:header="708" w:footer="708" w:gutter="0"/>
          <w:pgNumType/>
          <w:cols w:space="360" w:num="2" w:equalWidth="true"/>
          <w:docGrid w:linePitch="360"/>
        </w:sectPr>
      </w:pPr>
    </w:p>
    <w:p>
      <w:pPr>
        <w:spacing w:after="0" w:before="200"/>
        <w:jc w:val="center"/>
      </w:pPr>
      <w:r>
        <w:rPr>
          <w:rFonts w:ascii="Times New Roman" w:cs="Times New Roman" w:eastAsia="Times New Roman" w:hAnsi="Times New Roman"/>
          <w:sz w:val="16"/>
          <w:szCs w:val="16"/>
        </w:rPr>
        <w:t xml:space="preserve">TABLE IV</w:t>
      </w:r>
    </w:p>
    <w:p>
      <w:pPr>
        <w:spacing w:after="60"/>
        <w:jc w:val="center"/>
      </w:pPr>
      <w:r>
        <w:rPr>
          <w:rFonts w:ascii="Times New Roman" w:cs="Times New Roman" w:eastAsia="Times New Roman" w:hAnsi="Times New Roman"/>
          <w:smallCaps/>
          <w:sz w:val="16"/>
          <w:szCs w:val="16"/>
        </w:rPr>
        <w:t xml:space="preserve">PROCESS IMPROVEMENT REQUIRED FOR V</w:t>
      </w:r>
      <w:r>
        <w:rPr>
          <w:rFonts w:ascii="Times New Roman" w:cs="Times New Roman" w:eastAsia="Times New Roman" w:hAnsi="Times New Roman"/>
          <w:smallCaps/>
          <w:sz w:val="16"/>
          <w:szCs w:val="16"/>
          <w:vertAlign w:val="subscript"/>
        </w:rPr>
        <w:t xml:space="preserve">MIN</w:t>
      </w:r>
      <w:r>
        <w:rPr>
          <w:rFonts w:ascii="Times New Roman" w:cs="Times New Roman" w:eastAsia="Times New Roman" w:hAnsi="Times New Roman"/>
          <w:smallCaps/>
          <w:sz w:val="16"/>
          <w:szCs w:val="16"/>
        </w:rPr>
        <w:t xml:space="preserve"> = 0.575 V</w:t>
      </w:r>
    </w:p>
    <w:tbl>
      <w:tblPr>
        <w:tblW w:type="dxa" w:w="10440"/>
        <w:tblBorders>
          <w:top w:val="single" w:color="000000" w:sz="4"/>
          <w:left w:val="single" w:color="000000" w:sz="4"/>
          <w:bottom w:val="single" w:color="000000" w:sz="4"/>
          <w:right w:val="single" w:color="000000" w:sz="4"/>
          <w:insideH w:val="single" w:color="808080" w:sz="2"/>
          <w:insideV w:val="single" w:color="808080" w:sz="2"/>
        </w:tblBorders>
      </w:tblPr>
      <w:tblGrid>
        <w:gridCol w:w="4385"/>
        <w:gridCol w:w="3028"/>
        <w:gridCol w:w="3027"/>
      </w:tblGrid>
      <w:tr>
        <w:trPr>
          <w:tblHeader/>
        </w:trPr>
        <w:tc>
          <w:tcPr>
            <w:tcW w:type="dxa" w:w="4385"/>
            <w:shd w:fill="F2F2F2" w:val="clear"/>
            <w:tcMar>
              <w:top w:type="dxa" w:w="40"/>
              <w:left w:type="dxa" w:w="80"/>
              <w:bottom w:type="dxa" w:w="40"/>
              <w:right w:type="dxa" w:w="80"/>
            </w:tcMar>
          </w:tcPr>
          <w:p>
            <w:pPr>
              <w:spacing w:line="220"/>
              <w:jc w:val="left"/>
            </w:pPr>
            <w:r>
              <w:rPr>
                <w:rFonts w:ascii="Times New Roman" w:cs="Times New Roman" w:eastAsia="Times New Roman" w:hAnsi="Times New Roman"/>
                <w:b/>
                <w:bCs/>
                <w:sz w:val="16"/>
                <w:szCs w:val="16"/>
              </w:rPr>
              <w:t xml:space="preserve">Improvement lever</w:t>
            </w:r>
          </w:p>
        </w:tc>
        <w:tc>
          <w:tcPr>
            <w:tcW w:type="dxa" w:w="3028"/>
            <w:shd w:fill="F2F2F2" w:val="clear"/>
            <w:tcMar>
              <w:top w:type="dxa" w:w="40"/>
              <w:left w:type="dxa" w:w="80"/>
              <w:bottom w:type="dxa" w:w="40"/>
              <w:right w:type="dxa" w:w="80"/>
            </w:tcMar>
          </w:tcPr>
          <w:p>
            <w:pPr>
              <w:spacing w:line="220"/>
              <w:jc w:val="center"/>
            </w:pPr>
            <w:r>
              <w:rPr>
                <w:rFonts w:ascii="Times New Roman" w:cs="Times New Roman" w:eastAsia="Times New Roman" w:hAnsi="Times New Roman"/>
                <w:b/>
                <w:bCs/>
                <w:sz w:val="16"/>
                <w:szCs w:val="16"/>
              </w:rPr>
              <w:t xml:space="preserve">Required setting</w:t>
            </w:r>
          </w:p>
        </w:tc>
        <w:tc>
          <w:tcPr>
            <w:tcW w:type="dxa" w:w="3027"/>
            <w:shd w:fill="F2F2F2" w:val="clear"/>
            <w:tcMar>
              <w:top w:type="dxa" w:w="40"/>
              <w:left w:type="dxa" w:w="80"/>
              <w:bottom w:type="dxa" w:w="40"/>
              <w:right w:type="dxa" w:w="80"/>
            </w:tcMar>
          </w:tcPr>
          <w:p>
            <w:pPr>
              <w:spacing w:line="220"/>
              <w:jc w:val="center"/>
            </w:pPr>
            <w:r>
              <w:rPr>
                <w:rFonts w:ascii="Times New Roman" w:cs="Times New Roman" w:eastAsia="Times New Roman" w:hAnsi="Times New Roman"/>
                <w:b/>
                <w:bCs/>
                <w:sz w:val="16"/>
                <w:szCs w:val="16"/>
              </w:rPr>
              <w:t xml:space="preserve">Binding V</w:t>
            </w:r>
            <w:r>
              <w:rPr>
                <w:rFonts w:ascii="Times New Roman" w:cs="Times New Roman" w:eastAsia="Times New Roman" w:hAnsi="Times New Roman"/>
                <w:b/>
                <w:bCs/>
                <w:sz w:val="16"/>
                <w:szCs w:val="16"/>
                <w:vertAlign w:val="subscript"/>
              </w:rPr>
              <w:t xml:space="preserve">min</w:t>
            </w:r>
          </w:p>
        </w:tc>
      </w:tr>
      <w:tr>
        <w:tc>
          <w:tcPr>
            <w:tcW w:type="dxa" w:w="4385"/>
            <w:tcMar>
              <w:top w:type="dxa" w:w="40"/>
              <w:left w:type="dxa" w:w="80"/>
              <w:bottom w:type="dxa" w:w="40"/>
              <w:right w:type="dxa" w:w="80"/>
            </w:tcMar>
          </w:tcPr>
          <w:p>
            <w:pPr>
              <w:spacing w:line="220"/>
              <w:jc w:val="left"/>
            </w:pPr>
            <w:r>
              <w:rPr>
                <w:rFonts w:ascii="Times New Roman" w:cs="Times New Roman" w:eastAsia="Times New Roman" w:hAnsi="Times New Roman"/>
                <w:b w:val="false"/>
                <w:bCs w:val="false"/>
                <w:sz w:val="16"/>
                <w:szCs w:val="16"/>
              </w:rPr>
              <w:t xml:space="preserve">NMOS local-σ</w:t>
            </w:r>
          </w:p>
        </w:tc>
        <w:tc>
          <w:tcPr>
            <w:tcW w:type="dxa" w:w="3028"/>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σ × 0.891  (−10.9 %)</w:t>
            </w:r>
          </w:p>
        </w:tc>
        <w:tc>
          <w:tcPr>
            <w:tcW w:type="dxa" w:w="3027"/>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0.5750 V</w:t>
            </w:r>
          </w:p>
        </w:tc>
      </w:tr>
      <w:tr>
        <w:tc>
          <w:tcPr>
            <w:tcW w:type="dxa" w:w="4385"/>
            <w:tcMar>
              <w:top w:type="dxa" w:w="40"/>
              <w:left w:type="dxa" w:w="80"/>
              <w:bottom w:type="dxa" w:w="40"/>
              <w:right w:type="dxa" w:w="80"/>
            </w:tcMar>
          </w:tcPr>
          <w:p>
            <w:pPr>
              <w:spacing w:line="220"/>
              <w:jc w:val="left"/>
            </w:pPr>
            <w:r>
              <w:rPr>
                <w:rFonts w:ascii="Times New Roman" w:cs="Times New Roman" w:eastAsia="Times New Roman" w:hAnsi="Times New Roman"/>
                <w:b w:val="false"/>
                <w:bCs w:val="false"/>
                <w:sz w:val="16"/>
                <w:szCs w:val="16"/>
              </w:rPr>
              <w:t xml:space="preserve">PMOS local-σ</w:t>
            </w:r>
          </w:p>
        </w:tc>
        <w:tc>
          <w:tcPr>
            <w:tcW w:type="dxa" w:w="3028"/>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short even at the floor, σ × 0.70 (−30 %)</w:t>
            </w:r>
          </w:p>
        </w:tc>
        <w:tc>
          <w:tcPr>
            <w:tcW w:type="dxa" w:w="3027"/>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0.5756 V (at floor)</w:t>
            </w:r>
          </w:p>
        </w:tc>
      </w:tr>
      <w:tr>
        <w:tc>
          <w:tcPr>
            <w:tcW w:type="dxa" w:w="4385"/>
            <w:tcMar>
              <w:top w:type="dxa" w:w="40"/>
              <w:left w:type="dxa" w:w="80"/>
              <w:bottom w:type="dxa" w:w="40"/>
              <w:right w:type="dxa" w:w="80"/>
            </w:tcMar>
          </w:tcPr>
          <w:p>
            <w:pPr>
              <w:spacing w:line="220"/>
              <w:jc w:val="left"/>
            </w:pPr>
            <w:r>
              <w:rPr>
                <w:rFonts w:ascii="Times New Roman" w:cs="Times New Roman" w:eastAsia="Times New Roman" w:hAnsi="Times New Roman"/>
                <w:b w:val="false"/>
                <w:bCs w:val="false"/>
                <w:sz w:val="16"/>
                <w:szCs w:val="16"/>
              </w:rPr>
              <w:t xml:space="preserve">global Vth corner</w:t>
            </w:r>
          </w:p>
        </w:tc>
        <w:tc>
          <w:tcPr>
            <w:tcW w:type="dxa" w:w="3028"/>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53 % of the PDK offset (−47 %)</w:t>
            </w:r>
          </w:p>
        </w:tc>
        <w:tc>
          <w:tcPr>
            <w:tcW w:type="dxa" w:w="3027"/>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0.5750 V</w:t>
            </w:r>
          </w:p>
        </w:tc>
      </w:tr>
      <w:tr>
        <w:tc>
          <w:tcPr>
            <w:tcW w:type="dxa" w:w="4385"/>
            <w:tcMar>
              <w:top w:type="dxa" w:w="40"/>
              <w:left w:type="dxa" w:w="80"/>
              <w:bottom w:type="dxa" w:w="40"/>
              <w:right w:type="dxa" w:w="80"/>
            </w:tcMar>
          </w:tcPr>
          <w:p>
            <w:pPr>
              <w:spacing w:line="220"/>
              <w:jc w:val="left"/>
            </w:pPr>
            <w:r>
              <w:rPr>
                <w:rFonts w:ascii="Times New Roman" w:cs="Times New Roman" w:eastAsia="Times New Roman" w:hAnsi="Times New Roman"/>
                <w:b w:val="false"/>
                <w:bCs w:val="false"/>
                <w:sz w:val="16"/>
                <w:szCs w:val="16"/>
              </w:rPr>
              <w:t xml:space="preserve">NMOS + PMOS local-σ</w:t>
            </w:r>
          </w:p>
        </w:tc>
        <w:tc>
          <w:tcPr>
            <w:tcW w:type="dxa" w:w="3028"/>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σ × 0.922  (−7.8 %)</w:t>
            </w:r>
          </w:p>
        </w:tc>
        <w:tc>
          <w:tcPr>
            <w:tcW w:type="dxa" w:w="3027"/>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0.5750 V</w:t>
            </w:r>
          </w:p>
        </w:tc>
      </w:tr>
    </w:tbl>
    <w:p>
      <w:pPr>
        <w:spacing w:after="200"/>
      </w:pPr>
    </w:p>
    <w:p>
      <w:pPr>
        <w:spacing w:after="60" w:before="160"/>
        <w:jc w:val="center"/>
      </w:pPr>
      <w:r>
        <w:drawing>
          <wp:inline distT="0" distB="0" distL="0" distR="0">
            <wp:extent cx="64008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2771775"/>
                    </a:xfrm>
                    <a:prstGeom prst="rect">
                      <a:avLst/>
                    </a:prstGeom>
                  </pic:spPr>
                </pic:pic>
              </a:graphicData>
            </a:graphic>
          </wp:inline>
        </w:drawing>
      </w:r>
    </w:p>
    <w:p>
      <w:pPr>
        <w:spacing w:after="200" w:line="220"/>
        <w:jc w:val="both"/>
      </w:pPr>
      <w:r>
        <w:rPr>
          <w:rFonts w:ascii="Times New Roman" w:cs="Times New Roman" w:eastAsia="Times New Roman" w:hAnsi="Times New Roman"/>
          <w:b/>
          <w:bCs/>
          <w:sz w:val="16"/>
          <w:szCs w:val="16"/>
        </w:rPr>
        <w:t xml:space="preserve">Fig. 5.</w:t>
      </w:r>
      <w:r>
        <w:rPr>
          <w:rFonts w:ascii="Times New Roman" w:cs="Times New Roman" w:eastAsia="Times New Roman" w:hAnsi="Times New Roman"/>
          <w:sz w:val="16"/>
          <w:szCs w:val="16"/>
        </w:rPr>
        <w:t xml:space="preserve">  Passing window at V</w:t>
      </w:r>
      <w:r>
        <w:rPr>
          <w:rFonts w:ascii="Times New Roman" w:cs="Times New Roman" w:eastAsia="Times New Roman" w:hAnsi="Times New Roman"/>
          <w:sz w:val="16"/>
          <w:szCs w:val="16"/>
          <w:vertAlign w:val="subscript"/>
        </w:rPr>
        <w:t xml:space="preserve">min</w:t>
      </w:r>
      <w:r>
        <w:rPr>
          <w:rFonts w:ascii="Times New Roman" w:cs="Times New Roman" w:eastAsia="Times New Roman" w:hAnsi="Times New Roman"/>
          <w:sz w:val="16"/>
          <w:szCs w:val="16"/>
        </w:rPr>
        <w:t xml:space="preserve"> = 0.575 V for the baseline and each improvement case, over the (ΔV</w:t>
      </w:r>
      <w:r>
        <w:rPr>
          <w:rFonts w:ascii="Times New Roman" w:cs="Times New Roman" w:eastAsia="Times New Roman" w:hAnsi="Times New Roman"/>
          <w:sz w:val="16"/>
          <w:szCs w:val="16"/>
          <w:vertAlign w:val="subscript"/>
        </w:rPr>
        <w:t xml:space="preserve">th,N</w:t>
      </w:r>
      <w:r>
        <w:rPr>
          <w:rFonts w:ascii="Times New Roman" w:cs="Times New Roman" w:eastAsia="Times New Roman" w:hAnsi="Times New Roman"/>
          <w:sz w:val="16"/>
          <w:szCs w:val="16"/>
        </w:rPr>
        <w:t xml:space="preserve">, ΔV</w:t>
      </w:r>
      <w:r>
        <w:rPr>
          <w:rFonts w:ascii="Times New Roman" w:cs="Times New Roman" w:eastAsia="Times New Roman" w:hAnsi="Times New Roman"/>
          <w:sz w:val="16"/>
          <w:szCs w:val="16"/>
          <w:vertAlign w:val="subscript"/>
        </w:rPr>
        <w:t xml:space="preserve">th,P</w:t>
      </w:r>
      <w:r>
        <w:rPr>
          <w:rFonts w:ascii="Times New Roman" w:cs="Times New Roman" w:eastAsia="Times New Roman" w:hAnsi="Times New Roman"/>
          <w:sz w:val="16"/>
          <w:szCs w:val="16"/>
        </w:rPr>
        <w:t xml:space="preserve">) plane. Red is the read boundary, yellow the write boundary, and the hatched region is where both modes clear the target. Stars mark the two limiting PDK corners; a filled star means that corner now passes.</w:t>
      </w:r>
    </w:p>
    <w:p>
      <w:pPr>
        <w:sectPr>
          <w:type w:val="continuous"/>
          <w:pgSz w:w="12240" w:h="15840" w:orient="portrait"/>
          <w:pgMar w:top="1080" w:right="900" w:bottom="1440" w:left="900" w:header="708" w:footer="708" w:gutter="0"/>
          <w:pgNumType/>
          <w:cols w:num="1"/>
          <w:docGrid w:linePitch="360"/>
        </w:sectPr>
      </w:pPr>
    </w:p>
    <w:p>
      <w:pPr>
        <w:pStyle w:val="Heading1"/>
        <w:spacing w:after="120" w:before="240"/>
        <w:jc w:val="center"/>
      </w:pPr>
      <w:r>
        <w:rPr>
          <w:rFonts w:ascii="Times New Roman" w:cs="Times New Roman" w:eastAsia="Times New Roman" w:hAnsi="Times New Roman"/>
          <w:sz w:val="20"/>
          <w:szCs w:val="20"/>
        </w:rPr>
        <w:t xml:space="preserve">V.  Key Insight: Exposing the Blind Spots of Corner Analysis</w:t>
      </w:r>
    </w:p>
    <w:p>
      <w:pPr>
        <w:spacing w:after="120" w:line="240"/>
        <w:jc w:val="both"/>
      </w:pPr>
      <w:r>
        <w:rPr>
          <w:rFonts w:ascii="Times New Roman" w:cs="Times New Roman" w:eastAsia="Times New Roman" w:hAnsi="Times New Roman"/>
          <w:sz w:val="20"/>
          <w:szCs w:val="20"/>
        </w:rPr>
        <w:t xml:space="preserve">The most significant contribution of this work is a quantitative demonstration of the limits of corner-only verification. Using total-order Sobol global sensitivity analysis [13], [14] on the surrogate output, we compared the variance contribution of the conventional global corner axes against the local-mismatch axes over the allowed process range, interactions included. Total-order indices are the right instrument here: an ARD lengthscale describes how smooth the function is, whereas a Sobol index measures how much of the output variance an axis actually carries.</w:t>
      </w:r>
    </w:p>
    <w:p>
      <w:pPr>
        <w:sectPr>
          <w:type w:val="continuous"/>
          <w:pgSz w:w="12240" w:h="15840" w:orient="portrait"/>
          <w:pgMar w:top="1080" w:right="900" w:bottom="1440" w:left="900" w:header="708" w:footer="708" w:gutter="0"/>
          <w:pgNumType/>
          <w:cols w:space="360" w:num="2" w:equalWidth="true"/>
          <w:docGrid w:linePitch="360"/>
        </w:sectPr>
      </w:pPr>
    </w:p>
    <w:p>
      <w:pPr>
        <w:spacing w:after="0" w:before="200"/>
        <w:jc w:val="center"/>
      </w:pPr>
      <w:r>
        <w:rPr>
          <w:rFonts w:ascii="Times New Roman" w:cs="Times New Roman" w:eastAsia="Times New Roman" w:hAnsi="Times New Roman"/>
          <w:sz w:val="16"/>
          <w:szCs w:val="16"/>
        </w:rPr>
        <w:t xml:space="preserve">TABLE V</w:t>
      </w:r>
    </w:p>
    <w:p>
      <w:pPr>
        <w:spacing w:after="60"/>
        <w:jc w:val="center"/>
      </w:pPr>
      <w:r>
        <w:rPr>
          <w:rFonts w:ascii="Times New Roman" w:cs="Times New Roman" w:eastAsia="Times New Roman" w:hAnsi="Times New Roman"/>
          <w:smallCaps/>
          <w:sz w:val="16"/>
          <w:szCs w:val="16"/>
        </w:rPr>
        <w:t xml:space="preserve">TOTAL-ORDER SOBOL INDICES OF THE READ MARGIN</w:t>
      </w:r>
    </w:p>
    <w:tbl>
      <w:tblPr>
        <w:tblW w:type="dxa" w:w="10440"/>
        <w:tblBorders>
          <w:top w:val="single" w:color="000000" w:sz="4"/>
          <w:left w:val="single" w:color="000000" w:sz="4"/>
          <w:bottom w:val="single" w:color="000000" w:sz="4"/>
          <w:right w:val="single" w:color="000000" w:sz="4"/>
          <w:insideH w:val="single" w:color="808080" w:sz="2"/>
          <w:insideV w:val="single" w:color="808080" w:sz="2"/>
        </w:tblBorders>
      </w:tblPr>
      <w:tblGrid>
        <w:gridCol w:w="2714"/>
        <w:gridCol w:w="2575"/>
        <w:gridCol w:w="2575"/>
        <w:gridCol w:w="2576"/>
      </w:tblGrid>
      <w:tr>
        <w:trPr>
          <w:tblHeader/>
        </w:trPr>
        <w:tc>
          <w:tcPr>
            <w:tcW w:type="dxa" w:w="2714"/>
            <w:shd w:fill="F2F2F2" w:val="clear"/>
            <w:tcMar>
              <w:top w:type="dxa" w:w="40"/>
              <w:left w:type="dxa" w:w="80"/>
              <w:bottom w:type="dxa" w:w="40"/>
              <w:right w:type="dxa" w:w="80"/>
            </w:tcMar>
          </w:tcPr>
          <w:p>
            <w:pPr>
              <w:spacing w:line="220"/>
              <w:jc w:val="left"/>
            </w:pPr>
            <w:r>
              <w:rPr>
                <w:rFonts w:ascii="Times New Roman" w:cs="Times New Roman" w:eastAsia="Times New Roman" w:hAnsi="Times New Roman"/>
                <w:b/>
                <w:bCs/>
                <w:sz w:val="16"/>
                <w:szCs w:val="16"/>
              </w:rPr>
              <w:t xml:space="preserve">Process axis</w:t>
            </w:r>
          </w:p>
        </w:tc>
        <w:tc>
          <w:tcPr>
            <w:tcW w:type="dxa" w:w="2575"/>
            <w:shd w:fill="F2F2F2" w:val="clear"/>
            <w:tcMar>
              <w:top w:type="dxa" w:w="40"/>
              <w:left w:type="dxa" w:w="80"/>
              <w:bottom w:type="dxa" w:w="40"/>
              <w:right w:type="dxa" w:w="80"/>
            </w:tcMar>
          </w:tcPr>
          <w:p>
            <w:pPr>
              <w:spacing w:line="220"/>
              <w:jc w:val="center"/>
            </w:pPr>
            <w:r>
              <w:rPr>
                <w:rFonts w:ascii="Times New Roman" w:cs="Times New Roman" w:eastAsia="Times New Roman" w:hAnsi="Times New Roman"/>
                <w:b/>
                <w:bCs/>
                <w:sz w:val="16"/>
                <w:szCs w:val="16"/>
              </w:rPr>
              <w:t xml:space="preserve">Physical meaning</w:t>
            </w:r>
          </w:p>
        </w:tc>
        <w:tc>
          <w:tcPr>
            <w:tcW w:type="dxa" w:w="2575"/>
            <w:shd w:fill="F2F2F2" w:val="clear"/>
            <w:tcMar>
              <w:top w:type="dxa" w:w="40"/>
              <w:left w:type="dxa" w:w="80"/>
              <w:bottom w:type="dxa" w:w="40"/>
              <w:right w:type="dxa" w:w="80"/>
            </w:tcMar>
          </w:tcPr>
          <w:p>
            <w:pPr>
              <w:spacing w:line="220"/>
              <w:jc w:val="center"/>
            </w:pPr>
            <w:r>
              <w:rPr>
                <w:rFonts w:ascii="Times New Roman" w:cs="Times New Roman" w:eastAsia="Times New Roman" w:hAnsi="Times New Roman"/>
                <w:b/>
                <w:bCs/>
                <w:sz w:val="16"/>
                <w:szCs w:val="16"/>
              </w:rPr>
              <w:t xml:space="preserve">Corner axis?</w:t>
            </w:r>
          </w:p>
        </w:tc>
        <w:tc>
          <w:tcPr>
            <w:tcW w:type="dxa" w:w="2576"/>
            <w:shd w:fill="F2F2F2" w:val="clear"/>
            <w:tcMar>
              <w:top w:type="dxa" w:w="40"/>
              <w:left w:type="dxa" w:w="80"/>
              <w:bottom w:type="dxa" w:w="40"/>
              <w:right w:type="dxa" w:w="80"/>
            </w:tcMar>
          </w:tcPr>
          <w:p>
            <w:pPr>
              <w:spacing w:line="220"/>
              <w:jc w:val="center"/>
            </w:pPr>
            <w:r>
              <w:rPr>
                <w:rFonts w:ascii="Times New Roman" w:cs="Times New Roman" w:eastAsia="Times New Roman" w:hAnsi="Times New Roman"/>
                <w:b/>
                <w:bCs/>
                <w:sz w:val="16"/>
                <w:szCs w:val="16"/>
              </w:rPr>
              <w:t xml:space="preserve">S</w:t>
            </w:r>
            <w:r>
              <w:rPr>
                <w:rFonts w:ascii="Times New Roman" w:cs="Times New Roman" w:eastAsia="Times New Roman" w:hAnsi="Times New Roman"/>
                <w:b/>
                <w:bCs/>
                <w:sz w:val="16"/>
                <w:szCs w:val="16"/>
                <w:vertAlign w:val="subscript"/>
              </w:rPr>
              <w:t xml:space="preserve">T</w:t>
            </w:r>
          </w:p>
        </w:tc>
      </w:tr>
      <w:tr>
        <w:tc>
          <w:tcPr>
            <w:tcW w:type="dxa" w:w="2714"/>
            <w:tcMar>
              <w:top w:type="dxa" w:w="40"/>
              <w:left w:type="dxa" w:w="80"/>
              <w:bottom w:type="dxa" w:w="40"/>
              <w:right w:type="dxa" w:w="80"/>
            </w:tcMar>
          </w:tcPr>
          <w:p>
            <w:pPr>
              <w:spacing w:line="220"/>
              <w:jc w:val="left"/>
            </w:pPr>
            <w:r>
              <w:rPr>
                <w:rFonts w:ascii="Times New Roman" w:cs="Times New Roman" w:eastAsia="Times New Roman" w:hAnsi="Times New Roman"/>
                <w:b w:val="false"/>
                <w:bCs w:val="false"/>
                <w:sz w:val="16"/>
                <w:szCs w:val="16"/>
              </w:rPr>
              <w:t xml:space="preserve">ΔV</w:t>
            </w:r>
            <w:r>
              <w:rPr>
                <w:rFonts w:ascii="Times New Roman" w:cs="Times New Roman" w:eastAsia="Times New Roman" w:hAnsi="Times New Roman"/>
                <w:b w:val="false"/>
                <w:bCs w:val="false"/>
                <w:sz w:val="16"/>
                <w:szCs w:val="16"/>
                <w:vertAlign w:val="subscript"/>
              </w:rPr>
              <w:t xml:space="preserve">th,N</w:t>
            </w:r>
          </w:p>
        </w:tc>
        <w:tc>
          <w:tcPr>
            <w:tcW w:type="dxa" w:w="2575"/>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NMOS global threshold shift</w:t>
            </w:r>
          </w:p>
        </w:tc>
        <w:tc>
          <w:tcPr>
            <w:tcW w:type="dxa" w:w="2575"/>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yes</w:t>
            </w:r>
          </w:p>
        </w:tc>
        <w:tc>
          <w:tcPr>
            <w:tcW w:type="dxa" w:w="2576"/>
            <w:tcMar>
              <w:top w:type="dxa" w:w="40"/>
              <w:left w:type="dxa" w:w="80"/>
              <w:bottom w:type="dxa" w:w="40"/>
              <w:right w:type="dxa" w:w="80"/>
            </w:tcMar>
          </w:tcPr>
          <w:p>
            <w:pPr>
              <w:spacing w:line="220"/>
              <w:jc w:val="center"/>
            </w:pPr>
            <w:r>
              <w:rPr>
                <w:rFonts w:ascii="Times New Roman" w:cs="Times New Roman" w:eastAsia="Times New Roman" w:hAnsi="Times New Roman"/>
                <w:b/>
                <w:bCs/>
                <w:sz w:val="16"/>
                <w:szCs w:val="16"/>
              </w:rPr>
              <w:t xml:space="preserve">0.413</w:t>
            </w:r>
          </w:p>
        </w:tc>
      </w:tr>
      <w:tr>
        <w:tc>
          <w:tcPr>
            <w:tcW w:type="dxa" w:w="2714"/>
            <w:tcMar>
              <w:top w:type="dxa" w:w="40"/>
              <w:left w:type="dxa" w:w="80"/>
              <w:bottom w:type="dxa" w:w="40"/>
              <w:right w:type="dxa" w:w="80"/>
            </w:tcMar>
          </w:tcPr>
          <w:p>
            <w:pPr>
              <w:spacing w:line="220"/>
              <w:jc w:val="left"/>
            </w:pPr>
            <w:r>
              <w:rPr>
                <w:rFonts w:ascii="Times New Roman" w:cs="Times New Roman" w:eastAsia="Times New Roman" w:hAnsi="Times New Roman"/>
                <w:b w:val="false"/>
                <w:bCs w:val="false"/>
                <w:sz w:val="16"/>
                <w:szCs w:val="16"/>
              </w:rPr>
              <w:t xml:space="preserve">k</w:t>
            </w:r>
            <w:r>
              <w:rPr>
                <w:rFonts w:ascii="Times New Roman" w:cs="Times New Roman" w:eastAsia="Times New Roman" w:hAnsi="Times New Roman"/>
                <w:b w:val="false"/>
                <w:bCs w:val="false"/>
                <w:sz w:val="16"/>
                <w:szCs w:val="16"/>
                <w:vertAlign w:val="subscript"/>
              </w:rPr>
              <w:t xml:space="preserve">σN</w:t>
            </w:r>
          </w:p>
        </w:tc>
        <w:tc>
          <w:tcPr>
            <w:tcW w:type="dxa" w:w="2575"/>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NMOS common local-σ (mismatch)</w:t>
            </w:r>
          </w:p>
        </w:tc>
        <w:tc>
          <w:tcPr>
            <w:tcW w:type="dxa" w:w="2575"/>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no</w:t>
            </w:r>
          </w:p>
        </w:tc>
        <w:tc>
          <w:tcPr>
            <w:tcW w:type="dxa" w:w="2576"/>
            <w:tcMar>
              <w:top w:type="dxa" w:w="40"/>
              <w:left w:type="dxa" w:w="80"/>
              <w:bottom w:type="dxa" w:w="40"/>
              <w:right w:type="dxa" w:w="80"/>
            </w:tcMar>
          </w:tcPr>
          <w:p>
            <w:pPr>
              <w:spacing w:line="220"/>
              <w:jc w:val="center"/>
            </w:pPr>
            <w:r>
              <w:rPr>
                <w:rFonts w:ascii="Times New Roman" w:cs="Times New Roman" w:eastAsia="Times New Roman" w:hAnsi="Times New Roman"/>
                <w:b/>
                <w:bCs/>
                <w:sz w:val="16"/>
                <w:szCs w:val="16"/>
              </w:rPr>
              <w:t xml:space="preserve">0.272</w:t>
            </w:r>
          </w:p>
        </w:tc>
      </w:tr>
      <w:tr>
        <w:tc>
          <w:tcPr>
            <w:tcW w:type="dxa" w:w="2714"/>
            <w:tcMar>
              <w:top w:type="dxa" w:w="40"/>
              <w:left w:type="dxa" w:w="80"/>
              <w:bottom w:type="dxa" w:w="40"/>
              <w:right w:type="dxa" w:w="80"/>
            </w:tcMar>
          </w:tcPr>
          <w:p>
            <w:pPr>
              <w:spacing w:line="220"/>
              <w:jc w:val="left"/>
            </w:pPr>
            <w:r>
              <w:rPr>
                <w:rFonts w:ascii="Times New Roman" w:cs="Times New Roman" w:eastAsia="Times New Roman" w:hAnsi="Times New Roman"/>
                <w:b w:val="false"/>
                <w:bCs w:val="false"/>
                <w:sz w:val="16"/>
                <w:szCs w:val="16"/>
              </w:rPr>
              <w:t xml:space="preserve">ΔV</w:t>
            </w:r>
            <w:r>
              <w:rPr>
                <w:rFonts w:ascii="Times New Roman" w:cs="Times New Roman" w:eastAsia="Times New Roman" w:hAnsi="Times New Roman"/>
                <w:b w:val="false"/>
                <w:bCs w:val="false"/>
                <w:sz w:val="16"/>
                <w:szCs w:val="16"/>
                <w:vertAlign w:val="subscript"/>
              </w:rPr>
              <w:t xml:space="preserve">th,P</w:t>
            </w:r>
          </w:p>
        </w:tc>
        <w:tc>
          <w:tcPr>
            <w:tcW w:type="dxa" w:w="2575"/>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PMOS global threshold shift</w:t>
            </w:r>
          </w:p>
        </w:tc>
        <w:tc>
          <w:tcPr>
            <w:tcW w:type="dxa" w:w="2575"/>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yes</w:t>
            </w:r>
          </w:p>
        </w:tc>
        <w:tc>
          <w:tcPr>
            <w:tcW w:type="dxa" w:w="2576"/>
            <w:tcMar>
              <w:top w:type="dxa" w:w="40"/>
              <w:left w:type="dxa" w:w="80"/>
              <w:bottom w:type="dxa" w:w="40"/>
              <w:right w:type="dxa" w:w="80"/>
            </w:tcMar>
          </w:tcPr>
          <w:p>
            <w:pPr>
              <w:spacing w:line="220"/>
              <w:jc w:val="center"/>
            </w:pPr>
            <w:r>
              <w:rPr>
                <w:rFonts w:ascii="Times New Roman" w:cs="Times New Roman" w:eastAsia="Times New Roman" w:hAnsi="Times New Roman"/>
                <w:b/>
                <w:bCs/>
                <w:sz w:val="16"/>
                <w:szCs w:val="16"/>
              </w:rPr>
              <w:t xml:space="preserve">0.200</w:t>
            </w:r>
          </w:p>
        </w:tc>
      </w:tr>
      <w:tr>
        <w:tc>
          <w:tcPr>
            <w:tcW w:type="dxa" w:w="2714"/>
            <w:tcMar>
              <w:top w:type="dxa" w:w="40"/>
              <w:left w:type="dxa" w:w="80"/>
              <w:bottom w:type="dxa" w:w="40"/>
              <w:right w:type="dxa" w:w="80"/>
            </w:tcMar>
          </w:tcPr>
          <w:p>
            <w:pPr>
              <w:spacing w:line="220"/>
              <w:jc w:val="left"/>
            </w:pPr>
            <w:r>
              <w:rPr>
                <w:rFonts w:ascii="Times New Roman" w:cs="Times New Roman" w:eastAsia="Times New Roman" w:hAnsi="Times New Roman"/>
                <w:b w:val="false"/>
                <w:bCs w:val="false"/>
                <w:sz w:val="16"/>
                <w:szCs w:val="16"/>
              </w:rPr>
              <w:t xml:space="preserve">ΔV</w:t>
            </w:r>
            <w:r>
              <w:rPr>
                <w:rFonts w:ascii="Times New Roman" w:cs="Times New Roman" w:eastAsia="Times New Roman" w:hAnsi="Times New Roman"/>
                <w:b w:val="false"/>
                <w:bCs w:val="false"/>
                <w:sz w:val="16"/>
                <w:szCs w:val="16"/>
                <w:vertAlign w:val="subscript"/>
              </w:rPr>
              <w:t xml:space="preserve">th,skew</w:t>
            </w:r>
          </w:p>
        </w:tc>
        <w:tc>
          <w:tcPr>
            <w:tcW w:type="dxa" w:w="2575"/>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N/P threshold skew</w:t>
            </w:r>
          </w:p>
        </w:tc>
        <w:tc>
          <w:tcPr>
            <w:tcW w:type="dxa" w:w="2575"/>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no</w:t>
            </w:r>
          </w:p>
        </w:tc>
        <w:tc>
          <w:tcPr>
            <w:tcW w:type="dxa" w:w="2576"/>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0.065</w:t>
            </w:r>
          </w:p>
        </w:tc>
      </w:tr>
      <w:tr>
        <w:tc>
          <w:tcPr>
            <w:tcW w:type="dxa" w:w="2714"/>
            <w:tcMar>
              <w:top w:type="dxa" w:w="40"/>
              <w:left w:type="dxa" w:w="80"/>
              <w:bottom w:type="dxa" w:w="40"/>
              <w:right w:type="dxa" w:w="80"/>
            </w:tcMar>
          </w:tcPr>
          <w:p>
            <w:pPr>
              <w:spacing w:line="220"/>
              <w:jc w:val="left"/>
            </w:pPr>
            <w:r>
              <w:rPr>
                <w:rFonts w:ascii="Times New Roman" w:cs="Times New Roman" w:eastAsia="Times New Roman" w:hAnsi="Times New Roman"/>
                <w:b w:val="false"/>
                <w:bCs w:val="false"/>
                <w:sz w:val="16"/>
                <w:szCs w:val="16"/>
              </w:rPr>
              <w:t xml:space="preserve">k</w:t>
            </w:r>
            <w:r>
              <w:rPr>
                <w:rFonts w:ascii="Times New Roman" w:cs="Times New Roman" w:eastAsia="Times New Roman" w:hAnsi="Times New Roman"/>
                <w:b w:val="false"/>
                <w:bCs w:val="false"/>
                <w:sz w:val="16"/>
                <w:szCs w:val="16"/>
                <w:vertAlign w:val="subscript"/>
              </w:rPr>
              <w:t xml:space="preserve">σP</w:t>
            </w:r>
          </w:p>
        </w:tc>
        <w:tc>
          <w:tcPr>
            <w:tcW w:type="dxa" w:w="2575"/>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PMOS local-σ</w:t>
            </w:r>
          </w:p>
        </w:tc>
        <w:tc>
          <w:tcPr>
            <w:tcW w:type="dxa" w:w="2575"/>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no</w:t>
            </w:r>
          </w:p>
        </w:tc>
        <w:tc>
          <w:tcPr>
            <w:tcW w:type="dxa" w:w="2576"/>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0.045</w:t>
            </w:r>
          </w:p>
        </w:tc>
      </w:tr>
      <w:tr>
        <w:tc>
          <w:tcPr>
            <w:tcW w:type="dxa" w:w="2714"/>
            <w:tcMar>
              <w:top w:type="dxa" w:w="40"/>
              <w:left w:type="dxa" w:w="80"/>
              <w:bottom w:type="dxa" w:w="40"/>
              <w:right w:type="dxa" w:w="80"/>
            </w:tcMar>
          </w:tcPr>
          <w:p>
            <w:pPr>
              <w:spacing w:line="220"/>
              <w:jc w:val="left"/>
            </w:pPr>
            <w:r>
              <w:rPr>
                <w:rFonts w:ascii="Times New Roman" w:cs="Times New Roman" w:eastAsia="Times New Roman" w:hAnsi="Times New Roman"/>
                <w:b w:val="false"/>
                <w:bCs w:val="false"/>
                <w:sz w:val="16"/>
                <w:szCs w:val="16"/>
              </w:rPr>
              <w:t xml:space="preserve">k</w:t>
            </w:r>
            <w:r>
              <w:rPr>
                <w:rFonts w:ascii="Times New Roman" w:cs="Times New Roman" w:eastAsia="Times New Roman" w:hAnsi="Times New Roman"/>
                <w:b w:val="false"/>
                <w:bCs w:val="false"/>
                <w:sz w:val="16"/>
                <w:szCs w:val="16"/>
                <w:vertAlign w:val="subscript"/>
              </w:rPr>
              <w:t xml:space="preserve">μN</w:t>
            </w:r>
          </w:p>
        </w:tc>
        <w:tc>
          <w:tcPr>
            <w:tcW w:type="dxa" w:w="2575"/>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NMOS mobility multiplier</w:t>
            </w:r>
          </w:p>
        </w:tc>
        <w:tc>
          <w:tcPr>
            <w:tcW w:type="dxa" w:w="2575"/>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no</w:t>
            </w:r>
          </w:p>
        </w:tc>
        <w:tc>
          <w:tcPr>
            <w:tcW w:type="dxa" w:w="2576"/>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0.015</w:t>
            </w:r>
          </w:p>
        </w:tc>
      </w:tr>
      <w:tr>
        <w:tc>
          <w:tcPr>
            <w:tcW w:type="dxa" w:w="2714"/>
            <w:tcMar>
              <w:top w:type="dxa" w:w="40"/>
              <w:left w:type="dxa" w:w="80"/>
              <w:bottom w:type="dxa" w:w="40"/>
              <w:right w:type="dxa" w:w="80"/>
            </w:tcMar>
          </w:tcPr>
          <w:p>
            <w:pPr>
              <w:spacing w:line="220"/>
              <w:jc w:val="left"/>
            </w:pPr>
            <w:r>
              <w:rPr>
                <w:rFonts w:ascii="Times New Roman" w:cs="Times New Roman" w:eastAsia="Times New Roman" w:hAnsi="Times New Roman"/>
                <w:b w:val="false"/>
                <w:bCs w:val="false"/>
                <w:sz w:val="16"/>
                <w:szCs w:val="16"/>
              </w:rPr>
              <w:t xml:space="preserve">Δk</w:t>
            </w:r>
            <w:r>
              <w:rPr>
                <w:rFonts w:ascii="Times New Roman" w:cs="Times New Roman" w:eastAsia="Times New Roman" w:hAnsi="Times New Roman"/>
                <w:b w:val="false"/>
                <w:bCs w:val="false"/>
                <w:sz w:val="16"/>
                <w:szCs w:val="16"/>
                <w:vertAlign w:val="subscript"/>
              </w:rPr>
              <w:t xml:space="preserve">μN</w:t>
            </w:r>
          </w:p>
        </w:tc>
        <w:tc>
          <w:tcPr>
            <w:tcW w:type="dxa" w:w="2575"/>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NMOS mobility skew</w:t>
            </w:r>
          </w:p>
        </w:tc>
        <w:tc>
          <w:tcPr>
            <w:tcW w:type="dxa" w:w="2575"/>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no</w:t>
            </w:r>
          </w:p>
        </w:tc>
        <w:tc>
          <w:tcPr>
            <w:tcW w:type="dxa" w:w="2576"/>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0.015</w:t>
            </w:r>
          </w:p>
        </w:tc>
      </w:tr>
      <w:tr>
        <w:tc>
          <w:tcPr>
            <w:tcW w:type="dxa" w:w="2714"/>
            <w:tcMar>
              <w:top w:type="dxa" w:w="40"/>
              <w:left w:type="dxa" w:w="80"/>
              <w:bottom w:type="dxa" w:w="40"/>
              <w:right w:type="dxa" w:w="80"/>
            </w:tcMar>
          </w:tcPr>
          <w:p>
            <w:pPr>
              <w:spacing w:line="220"/>
              <w:jc w:val="left"/>
            </w:pPr>
            <w:r>
              <w:rPr>
                <w:rFonts w:ascii="Times New Roman" w:cs="Times New Roman" w:eastAsia="Times New Roman" w:hAnsi="Times New Roman"/>
                <w:b w:val="false"/>
                <w:bCs w:val="false"/>
                <w:sz w:val="16"/>
                <w:szCs w:val="16"/>
              </w:rPr>
              <w:t xml:space="preserve">k</w:t>
            </w:r>
            <w:r>
              <w:rPr>
                <w:rFonts w:ascii="Times New Roman" w:cs="Times New Roman" w:eastAsia="Times New Roman" w:hAnsi="Times New Roman"/>
                <w:b w:val="false"/>
                <w:bCs w:val="false"/>
                <w:sz w:val="16"/>
                <w:szCs w:val="16"/>
                <w:vertAlign w:val="subscript"/>
              </w:rPr>
              <w:t xml:space="preserve">μP</w:t>
            </w:r>
          </w:p>
        </w:tc>
        <w:tc>
          <w:tcPr>
            <w:tcW w:type="dxa" w:w="2575"/>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PMOS mobility multiplier</w:t>
            </w:r>
          </w:p>
        </w:tc>
        <w:tc>
          <w:tcPr>
            <w:tcW w:type="dxa" w:w="2575"/>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no</w:t>
            </w:r>
          </w:p>
        </w:tc>
        <w:tc>
          <w:tcPr>
            <w:tcW w:type="dxa" w:w="2576"/>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0.008</w:t>
            </w:r>
          </w:p>
        </w:tc>
      </w:tr>
      <w:tr>
        <w:tc>
          <w:tcPr>
            <w:tcW w:type="dxa" w:w="2714"/>
            <w:tcMar>
              <w:top w:type="dxa" w:w="40"/>
              <w:left w:type="dxa" w:w="80"/>
              <w:bottom w:type="dxa" w:w="40"/>
              <w:right w:type="dxa" w:w="80"/>
            </w:tcMar>
          </w:tcPr>
          <w:p>
            <w:pPr>
              <w:spacing w:line="220"/>
              <w:jc w:val="left"/>
            </w:pPr>
            <w:r>
              <w:rPr>
                <w:rFonts w:ascii="Times New Roman" w:cs="Times New Roman" w:eastAsia="Times New Roman" w:hAnsi="Times New Roman"/>
                <w:b w:val="false"/>
                <w:bCs w:val="false"/>
                <w:sz w:val="16"/>
                <w:szCs w:val="16"/>
              </w:rPr>
              <w:t xml:space="preserve">Δk</w:t>
            </w:r>
            <w:r>
              <w:rPr>
                <w:rFonts w:ascii="Times New Roman" w:cs="Times New Roman" w:eastAsia="Times New Roman" w:hAnsi="Times New Roman"/>
                <w:b w:val="false"/>
                <w:bCs w:val="false"/>
                <w:sz w:val="16"/>
                <w:szCs w:val="16"/>
                <w:vertAlign w:val="subscript"/>
              </w:rPr>
              <w:t xml:space="preserve">σN</w:t>
            </w:r>
          </w:p>
        </w:tc>
        <w:tc>
          <w:tcPr>
            <w:tcW w:type="dxa" w:w="2575"/>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NMOS local-σ skew</w:t>
            </w:r>
          </w:p>
        </w:tc>
        <w:tc>
          <w:tcPr>
            <w:tcW w:type="dxa" w:w="2575"/>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no</w:t>
            </w:r>
          </w:p>
        </w:tc>
        <w:tc>
          <w:tcPr>
            <w:tcW w:type="dxa" w:w="2576"/>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0.001</w:t>
            </w:r>
          </w:p>
        </w:tc>
      </w:tr>
    </w:tbl>
    <w:p>
      <w:pPr>
        <w:spacing w:after="200"/>
      </w:pPr>
    </w:p>
    <w:p>
      <w:pPr>
        <w:spacing w:after="60" w:before="160"/>
        <w:jc w:val="center"/>
      </w:pPr>
      <w:r>
        <w:drawing>
          <wp:inline distT="0" distB="0" distL="0" distR="0">
            <wp:extent cx="64008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2609850"/>
                    </a:xfrm>
                    <a:prstGeom prst="rect">
                      <a:avLst/>
                    </a:prstGeom>
                  </pic:spPr>
                </pic:pic>
              </a:graphicData>
            </a:graphic>
          </wp:inline>
        </w:drawing>
      </w:r>
    </w:p>
    <w:p>
      <w:pPr>
        <w:spacing w:after="200" w:line="220"/>
        <w:jc w:val="both"/>
      </w:pPr>
      <w:r>
        <w:rPr>
          <w:rFonts w:ascii="Times New Roman" w:cs="Times New Roman" w:eastAsia="Times New Roman" w:hAnsi="Times New Roman"/>
          <w:b/>
          <w:bCs/>
          <w:sz w:val="16"/>
          <w:szCs w:val="16"/>
        </w:rPr>
        <w:t xml:space="preserve">Fig. 6.</w:t>
      </w:r>
      <w:r>
        <w:rPr>
          <w:rFonts w:ascii="Times New Roman" w:cs="Times New Roman" w:eastAsia="Times New Roman" w:hAnsi="Times New Roman"/>
          <w:sz w:val="16"/>
          <w:szCs w:val="16"/>
        </w:rPr>
        <w:t xml:space="preserve">  Total-order Sobol indices with bootstrap confidence intervals for the read margin. The local-mismatch axis k</w:t>
      </w:r>
      <w:r>
        <w:rPr>
          <w:rFonts w:ascii="Times New Roman" w:cs="Times New Roman" w:eastAsia="Times New Roman" w:hAnsi="Times New Roman"/>
          <w:sz w:val="16"/>
          <w:szCs w:val="16"/>
          <w:vertAlign w:val="subscript"/>
        </w:rPr>
        <w:t xml:space="preserve">σN</w:t>
      </w:r>
      <w:r>
        <w:rPr>
          <w:rFonts w:ascii="Times New Roman" w:cs="Times New Roman" w:eastAsia="Times New Roman" w:hAnsi="Times New Roman"/>
          <w:sz w:val="16"/>
          <w:szCs w:val="16"/>
        </w:rPr>
        <w:t xml:space="preserve"> outranks the PMOS threshold-shift corner axis ΔV</w:t>
      </w:r>
      <w:r>
        <w:rPr>
          <w:rFonts w:ascii="Times New Roman" w:cs="Times New Roman" w:eastAsia="Times New Roman" w:hAnsi="Times New Roman"/>
          <w:sz w:val="16"/>
          <w:szCs w:val="16"/>
          <w:vertAlign w:val="subscript"/>
        </w:rPr>
        <w:t xml:space="preserve">th,P</w:t>
      </w:r>
      <w:r>
        <w:rPr>
          <w:rFonts w:ascii="Times New Roman" w:cs="Times New Roman" w:eastAsia="Times New Roman" w:hAnsi="Times New Roman"/>
          <w:sz w:val="16"/>
          <w:szCs w:val="16"/>
        </w:rPr>
        <w:t xml:space="preserve">; the non-corner axes carry at least 38 % of the variance.</w:t>
      </w:r>
    </w:p>
    <w:p>
      <w:pPr>
        <w:sectPr>
          <w:type w:val="continuous"/>
          <w:pgSz w:w="12240" w:h="15840" w:orient="portrait"/>
          <w:pgMar w:top="1080" w:right="900" w:bottom="1440" w:left="900" w:header="708" w:footer="708" w:gutter="0"/>
          <w:pgNumType/>
          <w:cols w:num="1"/>
          <w:docGrid w:linePitch="360"/>
        </w:sectPr>
      </w:pPr>
    </w:p>
    <w:p>
      <w:pPr>
        <w:pStyle w:val="Heading2"/>
        <w:spacing w:after="80" w:before="160"/>
        <w:jc w:val="left"/>
      </w:pPr>
      <w:r>
        <w:rPr>
          <w:rFonts w:ascii="Times New Roman" w:cs="Times New Roman" w:eastAsia="Times New Roman" w:hAnsi="Times New Roman"/>
          <w:i/>
          <w:iCs/>
          <w:sz w:val="20"/>
          <w:szCs w:val="20"/>
        </w:rPr>
        <w:t xml:space="preserve">A.  The Dominance of Local Mismatch</w:t>
      </w:r>
    </w:p>
    <w:p>
      <w:pPr>
        <w:spacing w:after="120" w:line="240"/>
        <w:jc w:val="both"/>
      </w:pPr>
      <w:r>
        <w:rPr>
          <w:rFonts w:ascii="Times New Roman" w:cs="Times New Roman" w:eastAsia="Times New Roman" w:hAnsi="Times New Roman"/>
          <w:sz w:val="20"/>
          <w:szCs w:val="20"/>
        </w:rPr>
        <w:t xml:space="preserve">The analysis produces a counter-intuitive but critical finding: </w:t>
      </w:r>
      <w:r>
        <w:rPr>
          <w:rFonts w:ascii="Times New Roman" w:cs="Times New Roman" w:eastAsia="Times New Roman" w:hAnsi="Times New Roman"/>
          <w:b/>
          <w:bCs/>
          <w:sz w:val="20"/>
          <w:szCs w:val="20"/>
        </w:rPr>
        <w:t xml:space="preserve">the local NMOS common-mismatch axis k_{σN} contributes more read-margin variance than the standard PMOS threshold-shift corner axis ΔV_{th,P}</w:t>
      </w:r>
      <w:r>
        <w:rPr>
          <w:rFonts w:ascii="Times New Roman" w:cs="Times New Roman" w:eastAsia="Times New Roman" w:hAnsi="Times New Roman"/>
          <w:sz w:val="20"/>
          <w:szCs w:val="20"/>
        </w:rPr>
        <w:t xml:space="preserve"> — total-order indices of 0.272 against 0.200 (Table V, Fig. 6). The ranking is a total-order statement; on first-order indices alone the two axes are close and the ordering can reverse, which is precisely why interactions must be included.</w:t>
      </w:r>
    </w:p>
    <w:p>
      <w:pPr>
        <w:spacing w:after="120" w:line="240"/>
        <w:ind w:firstLine="288"/>
        <w:jc w:val="both"/>
      </w:pPr>
      <w:r>
        <w:rPr>
          <w:rFonts w:ascii="Times New Roman" w:cs="Times New Roman" w:eastAsia="Times New Roman" w:hAnsi="Times New Roman"/>
          <w:sz w:val="20"/>
          <w:szCs w:val="20"/>
        </w:rPr>
        <w:t xml:space="preserve">The bound this places on corner methods is quantitative. The two corner axes ΔV</w:t>
      </w:r>
      <w:r>
        <w:rPr>
          <w:rFonts w:ascii="Times New Roman" w:cs="Times New Roman" w:eastAsia="Times New Roman" w:hAnsi="Times New Roman"/>
          <w:sz w:val="20"/>
          <w:szCs w:val="20"/>
          <w:vertAlign w:val="subscript"/>
        </w:rPr>
        <w:t xml:space="preserve">th,N</w:t>
      </w:r>
      <w:r>
        <w:rPr>
          <w:rFonts w:ascii="Times New Roman" w:cs="Times New Roman" w:eastAsia="Times New Roman" w:hAnsi="Times New Roman"/>
          <w:sz w:val="20"/>
          <w:szCs w:val="20"/>
        </w:rPr>
        <w:t xml:space="preserve"> and ΔV</w:t>
      </w:r>
      <w:r>
        <w:rPr>
          <w:rFonts w:ascii="Times New Roman" w:cs="Times New Roman" w:eastAsia="Times New Roman" w:hAnsi="Times New Roman"/>
          <w:sz w:val="20"/>
          <w:szCs w:val="20"/>
          <w:vertAlign w:val="subscript"/>
        </w:rPr>
        <w:t xml:space="preserve">th,P</w:t>
      </w:r>
      <w:r>
        <w:rPr>
          <w:rFonts w:ascii="Times New Roman" w:cs="Times New Roman" w:eastAsia="Times New Roman" w:hAnsi="Times New Roman"/>
          <w:sz w:val="20"/>
          <w:szCs w:val="20"/>
        </w:rPr>
        <w:t xml:space="preserve"> sum to 0.61, and because total-order indices overlap through interactions that sum is an </w:t>
      </w:r>
      <w:r>
        <w:rPr>
          <w:rFonts w:ascii="Times New Roman" w:cs="Times New Roman" w:eastAsia="Times New Roman" w:hAnsi="Times New Roman"/>
          <w:i/>
          <w:iCs/>
          <w:sz w:val="20"/>
          <w:szCs w:val="20"/>
        </w:rPr>
        <w:t xml:space="preserve">upper</w:t>
      </w:r>
      <w:r>
        <w:rPr>
          <w:rFonts w:ascii="Times New Roman" w:cs="Times New Roman" w:eastAsia="Times New Roman" w:hAnsi="Times New Roman"/>
          <w:sz w:val="20"/>
          <w:szCs w:val="20"/>
        </w:rPr>
        <w:t xml:space="preserve"> bound on their joint share. The remaining seven axes therefore carry </w:t>
      </w:r>
      <w:r>
        <w:rPr>
          <w:rFonts w:ascii="Times New Roman" w:cs="Times New Roman" w:eastAsia="Times New Roman" w:hAnsi="Times New Roman"/>
          <w:b/>
          <w:bCs/>
          <w:sz w:val="20"/>
          <w:szCs w:val="20"/>
        </w:rPr>
        <w:t xml:space="preserve">at least 38 % of the read-margin variance</w:t>
      </w:r>
      <w:r>
        <w:rPr>
          <w:rFonts w:ascii="Times New Roman" w:cs="Times New Roman" w:eastAsia="Times New Roman" w:hAnsi="Times New Roman"/>
          <w:sz w:val="20"/>
          <w:szCs w:val="20"/>
        </w:rPr>
        <w:t xml:space="preserve"> — variance that lies in process directions orthogonal to the conventional corner set.</w:t>
      </w:r>
    </w:p>
    <w:p>
      <w:pPr>
        <w:pStyle w:val="Heading2"/>
        <w:spacing w:after="80" w:before="160"/>
        <w:jc w:val="left"/>
      </w:pPr>
      <w:r>
        <w:rPr>
          <w:rFonts w:ascii="Times New Roman" w:cs="Times New Roman" w:eastAsia="Times New Roman" w:hAnsi="Times New Roman"/>
          <w:i/>
          <w:iCs/>
          <w:sz w:val="20"/>
          <w:szCs w:val="20"/>
        </w:rPr>
        <w:t xml:space="preserve">B.  Implications for SRAM Sign-Off</w:t>
      </w:r>
    </w:p>
    <w:p>
      <w:pPr>
        <w:spacing w:after="120" w:line="240"/>
        <w:jc w:val="both"/>
      </w:pPr>
      <w:r>
        <w:rPr>
          <w:rFonts w:ascii="Times New Roman" w:cs="Times New Roman" w:eastAsia="Times New Roman" w:hAnsi="Times New Roman"/>
          <w:sz w:val="20"/>
          <w:szCs w:val="20"/>
        </w:rPr>
        <w:t xml:space="preserve">This finding has three implications for SRAM verification.</w:t>
      </w:r>
    </w:p>
    <w:p>
      <w:pPr>
        <w:tabs>
          <w:tab w:val="left" w:pos="360"/>
        </w:tabs>
        <w:spacing w:after="60" w:line="240"/>
        <w:ind w:left="360" w:hanging="360"/>
        <w:jc w:val="both"/>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ab/>
      </w:r>
      <w:r>
        <w:rPr>
          <w:rFonts w:ascii="Times New Roman" w:cs="Times New Roman" w:eastAsia="Times New Roman" w:hAnsi="Times New Roman"/>
          <w:b/>
          <w:bCs/>
          <w:sz w:val="20"/>
          <w:szCs w:val="20"/>
        </w:rPr>
        <w:t xml:space="preserve">Under-estimation of risk.</w:t>
      </w:r>
      <w:r>
        <w:rPr>
          <w:rFonts w:ascii="Times New Roman" w:cs="Times New Roman" w:eastAsia="Times New Roman" w:hAnsi="Times New Roman"/>
          <w:sz w:val="20"/>
          <w:szCs w:val="20"/>
        </w:rPr>
        <w:t xml:space="preserve"> Standard corner analysis captures shifts in the </w:t>
      </w:r>
      <w:r>
        <w:rPr>
          <w:rFonts w:ascii="Times New Roman" w:cs="Times New Roman" w:eastAsia="Times New Roman" w:hAnsi="Times New Roman"/>
          <w:i/>
          <w:iCs/>
          <w:sz w:val="20"/>
          <w:szCs w:val="20"/>
        </w:rPr>
        <w:t xml:space="preserve">mean</w:t>
      </w:r>
      <w:r>
        <w:rPr>
          <w:rFonts w:ascii="Times New Roman" w:cs="Times New Roman" w:eastAsia="Times New Roman" w:hAnsi="Times New Roman"/>
          <w:sz w:val="20"/>
          <w:szCs w:val="20"/>
        </w:rPr>
        <w:t xml:space="preserve"> margin but systematically underestimates the </w:t>
      </w:r>
      <w:r>
        <w:rPr>
          <w:rFonts w:ascii="Times New Roman" w:cs="Times New Roman" w:eastAsia="Times New Roman" w:hAnsi="Times New Roman"/>
          <w:i/>
          <w:iCs/>
          <w:sz w:val="20"/>
          <w:szCs w:val="20"/>
        </w:rPr>
        <w:t xml:space="preserve">spread</w:t>
      </w:r>
      <w:r>
        <w:rPr>
          <w:rFonts w:ascii="Times New Roman" w:cs="Times New Roman" w:eastAsia="Times New Roman" w:hAnsi="Times New Roman"/>
          <w:sz w:val="20"/>
          <w:szCs w:val="20"/>
        </w:rPr>
        <w:t xml:space="preserve"> driven by local mismatch. Since V</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 is set by the distribution tail, V</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 = μ − kσ, ignoring these axes yields non-conservative, optimistic V</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 estimates.</w:t>
      </w:r>
    </w:p>
    <w:p>
      <w:pPr>
        <w:tabs>
          <w:tab w:val="left" w:pos="360"/>
        </w:tabs>
        <w:spacing w:after="60" w:line="240"/>
        <w:ind w:left="360" w:hanging="360"/>
        <w:jc w:val="both"/>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ab/>
      </w:r>
      <w:r>
        <w:rPr>
          <w:rFonts w:ascii="Times New Roman" w:cs="Times New Roman" w:eastAsia="Times New Roman" w:hAnsi="Times New Roman"/>
          <w:b/>
          <w:bCs/>
          <w:sz w:val="20"/>
          <w:szCs w:val="20"/>
        </w:rPr>
        <w:t xml:space="preserve">Misleading worst-case identification.</w:t>
      </w:r>
      <w:r>
        <w:rPr>
          <w:rFonts w:ascii="Times New Roman" w:cs="Times New Roman" w:eastAsia="Times New Roman" w:hAnsi="Times New Roman"/>
          <w:sz w:val="20"/>
          <w:szCs w:val="20"/>
        </w:rPr>
        <w:t xml:space="preserve"> The worst-case corner identified by traditional methods may not be the true yield limiter when local mismatch is the dominant failure mechanism. Any V</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 quoted at a corner is a worst case </w:t>
      </w:r>
      <w:r>
        <w:rPr>
          <w:rFonts w:ascii="Times New Roman" w:cs="Times New Roman" w:eastAsia="Times New Roman" w:hAnsi="Times New Roman"/>
          <w:i/>
          <w:iCs/>
          <w:sz w:val="20"/>
          <w:szCs w:val="20"/>
        </w:rPr>
        <w:t xml:space="preserve">in corner space</w:t>
      </w:r>
      <w:r>
        <w:rPr>
          <w:rFonts w:ascii="Times New Roman" w:cs="Times New Roman" w:eastAsia="Times New Roman" w:hAnsi="Times New Roman"/>
          <w:sz w:val="20"/>
          <w:szCs w:val="20"/>
        </w:rPr>
        <w:t xml:space="preserve">, hence a lower bound on the nine-dimensional worst case.</w:t>
      </w:r>
    </w:p>
    <w:p>
      <w:pPr>
        <w:tabs>
          <w:tab w:val="left" w:pos="360"/>
        </w:tabs>
        <w:spacing w:after="120" w:line="240"/>
        <w:ind w:left="360" w:hanging="360"/>
        <w:jc w:val="both"/>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ab/>
      </w:r>
      <w:r>
        <w:rPr>
          <w:rFonts w:ascii="Times New Roman" w:cs="Times New Roman" w:eastAsia="Times New Roman" w:hAnsi="Times New Roman"/>
          <w:b/>
          <w:bCs/>
          <w:sz w:val="20"/>
          <w:szCs w:val="20"/>
        </w:rPr>
        <w:t xml:space="preserve">Recommendation.</w:t>
      </w:r>
      <w:r>
        <w:rPr>
          <w:rFonts w:ascii="Times New Roman" w:cs="Times New Roman" w:eastAsia="Times New Roman" w:hAnsi="Times New Roman"/>
          <w:sz w:val="20"/>
          <w:szCs w:val="20"/>
        </w:rPr>
        <w:t xml:space="preserve"> For advanced nodes, statistical analysis of local mismatch must be integrated alongside global corner checks. Relying solely on PDK corners is insufficient to guarantee yield.</w:t>
      </w:r>
    </w:p>
    <w:p>
      <w:pPr>
        <w:sectPr>
          <w:type w:val="continuous"/>
          <w:pgSz w:w="12240" w:h="15840" w:orient="portrait"/>
          <w:pgMar w:top="1080" w:right="900" w:bottom="1440" w:left="900" w:header="708" w:footer="708" w:gutter="0"/>
          <w:pgNumType/>
          <w:cols w:space="360" w:num="2" w:equalWidth="true"/>
          <w:docGrid w:linePitch="360"/>
        </w:sectPr>
      </w:pPr>
    </w:p>
    <w:p>
      <w:pPr>
        <w:pStyle w:val="Heading1"/>
        <w:spacing w:after="120" w:before="240"/>
        <w:jc w:val="center"/>
      </w:pPr>
      <w:r>
        <w:rPr>
          <w:rFonts w:ascii="Times New Roman" w:cs="Times New Roman" w:eastAsia="Times New Roman" w:hAnsi="Times New Roman"/>
          <w:sz w:val="20"/>
          <w:szCs w:val="20"/>
        </w:rPr>
        <w:t xml:space="preserve">VI.  Practical Implications for Design and Process Integration</w:t>
      </w:r>
    </w:p>
    <w:p>
      <w:pPr>
        <w:spacing w:after="120" w:line="240"/>
        <w:jc w:val="both"/>
      </w:pPr>
      <w:r>
        <w:rPr>
          <w:rFonts w:ascii="Times New Roman" w:cs="Times New Roman" w:eastAsia="Times New Roman" w:hAnsi="Times New Roman"/>
          <w:sz w:val="20"/>
          <w:szCs w:val="20"/>
        </w:rPr>
        <w:t xml:space="preserve">The proposed workflow maximizes the return on a simulation budget. A single calibration campaign enables:</w:t>
      </w:r>
    </w:p>
    <w:p>
      <w:pPr>
        <w:tabs>
          <w:tab w:val="left" w:pos="360"/>
        </w:tabs>
        <w:spacing w:after="40" w:line="240"/>
        <w:ind w:left="360" w:hanging="360"/>
        <w:jc w:val="both"/>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ab/>
      </w:r>
      <w:r>
        <w:rPr>
          <w:rFonts w:ascii="Times New Roman" w:cs="Times New Roman" w:eastAsia="Times New Roman" w:hAnsi="Times New Roman"/>
          <w:b/>
          <w:bCs/>
          <w:sz w:val="20"/>
          <w:szCs w:val="20"/>
        </w:rPr>
        <w:t xml:space="preserve">Instant what-if analysis.</w:t>
      </w:r>
      <w:r>
        <w:rPr>
          <w:rFonts w:ascii="Times New Roman" w:cs="Times New Roman" w:eastAsia="Times New Roman" w:hAnsi="Times New Roman"/>
          <w:sz w:val="20"/>
          <w:szCs w:val="20"/>
        </w:rPr>
        <w:t xml:space="preserve"> Predicting V</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 for any hypothetical process shift without re-simulation.</w:t>
      </w:r>
    </w:p>
    <w:p>
      <w:pPr>
        <w:tabs>
          <w:tab w:val="left" w:pos="360"/>
        </w:tabs>
        <w:spacing w:after="40" w:line="240"/>
        <w:ind w:left="360" w:hanging="360"/>
        <w:jc w:val="both"/>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ab/>
      </w:r>
      <w:r>
        <w:rPr>
          <w:rFonts w:ascii="Times New Roman" w:cs="Times New Roman" w:eastAsia="Times New Roman" w:hAnsi="Times New Roman"/>
          <w:b/>
          <w:bCs/>
          <w:sz w:val="20"/>
          <w:szCs w:val="20"/>
        </w:rPr>
        <w:t xml:space="preserve">Data-driven spec setting.</w:t>
      </w:r>
      <w:r>
        <w:rPr>
          <w:rFonts w:ascii="Times New Roman" w:cs="Times New Roman" w:eastAsia="Times New Roman" w:hAnsi="Times New Roman"/>
          <w:sz w:val="20"/>
          <w:szCs w:val="20"/>
        </w:rPr>
        <w:t xml:space="preserve"> Deriving process-control limits directly from circuit yield targets through inverse queries.</w:t>
      </w:r>
    </w:p>
    <w:p>
      <w:pPr>
        <w:tabs>
          <w:tab w:val="left" w:pos="360"/>
        </w:tabs>
        <w:spacing w:after="120" w:line="240"/>
        <w:ind w:left="360" w:hanging="360"/>
        <w:jc w:val="both"/>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ab/>
      </w:r>
      <w:r>
        <w:rPr>
          <w:rFonts w:ascii="Times New Roman" w:cs="Times New Roman" w:eastAsia="Times New Roman" w:hAnsi="Times New Roman"/>
          <w:b/>
          <w:bCs/>
          <w:sz w:val="20"/>
          <w:szCs w:val="20"/>
        </w:rPr>
        <w:t xml:space="preserve">Risk prioritization.</w:t>
      </w:r>
      <w:r>
        <w:rPr>
          <w:rFonts w:ascii="Times New Roman" w:cs="Times New Roman" w:eastAsia="Times New Roman" w:hAnsi="Times New Roman"/>
          <w:sz w:val="20"/>
          <w:szCs w:val="20"/>
        </w:rPr>
        <w:t xml:space="preserve"> Establishing that local mismatch, not the global corners, is the primary risk driver for read V</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 so mitigation effort — layout optimization, adaptive biasing — goes where it matters.</w:t>
      </w:r>
    </w:p>
    <w:p>
      <w:pPr>
        <w:spacing w:after="120" w:line="240"/>
        <w:ind w:firstLine="288"/>
        <w:jc w:val="both"/>
      </w:pPr>
      <w:r>
        <w:rPr>
          <w:rFonts w:ascii="Times New Roman" w:cs="Times New Roman" w:eastAsia="Times New Roman" w:hAnsi="Times New Roman"/>
          <w:sz w:val="20"/>
          <w:szCs w:val="20"/>
        </w:rPr>
        <w:t xml:space="preserve">The budget itself is a design variable, and its price is measurable. Cutting the number of conditions, the supply levels, and the MC depth together reduces the campaign by 53× for read and 42.5× for write, at a cost of +3.5 mV and +2.8 mV in V</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 RMSE respectively (Table VI, Fig. 7). Condition count and MC depth are not independent knobs — both enter the error through the σ estimate — so the combined penalty is smaller than the sum of the individual ones.</w:t>
      </w:r>
    </w:p>
    <w:p>
      <w:pPr>
        <w:spacing w:after="0" w:before="200"/>
        <w:jc w:val="center"/>
      </w:pPr>
      <w:r>
        <w:rPr>
          <w:rFonts w:ascii="Times New Roman" w:cs="Times New Roman" w:eastAsia="Times New Roman" w:hAnsi="Times New Roman"/>
          <w:sz w:val="16"/>
          <w:szCs w:val="16"/>
        </w:rPr>
        <w:t xml:space="preserve">TABLE VI</w:t>
      </w:r>
    </w:p>
    <w:p>
      <w:pPr>
        <w:spacing w:after="60"/>
        <w:jc w:val="center"/>
      </w:pPr>
      <w:r>
        <w:rPr>
          <w:rFonts w:ascii="Times New Roman" w:cs="Times New Roman" w:eastAsia="Times New Roman" w:hAnsi="Times New Roman"/>
          <w:smallCaps/>
          <w:sz w:val="16"/>
          <w:szCs w:val="16"/>
        </w:rPr>
        <w:t xml:space="preserve">COMBINED BUDGET REDUCTION, SAME HOLD-OUT SET</w:t>
      </w:r>
    </w:p>
    <w:tbl>
      <w:tblPr>
        <w:tblW w:type="dxa" w:w="5040"/>
        <w:tblBorders>
          <w:top w:val="single" w:color="000000" w:sz="4"/>
          <w:left w:val="single" w:color="000000" w:sz="4"/>
          <w:bottom w:val="single" w:color="000000" w:sz="4"/>
          <w:right w:val="single" w:color="000000" w:sz="4"/>
          <w:insideH w:val="single" w:color="808080" w:sz="2"/>
          <w:insideV w:val="single" w:color="808080" w:sz="2"/>
        </w:tblBorders>
      </w:tblPr>
      <w:tblGrid>
        <w:gridCol w:w="2117"/>
        <w:gridCol w:w="1462"/>
        <w:gridCol w:w="1461"/>
      </w:tblGrid>
      <w:tr>
        <w:trPr>
          <w:tblHeader/>
        </w:trPr>
        <w:tc>
          <w:tcPr>
            <w:tcW w:type="dxa" w:w="2117"/>
            <w:shd w:fill="F2F2F2" w:val="clear"/>
            <w:tcMar>
              <w:top w:type="dxa" w:w="40"/>
              <w:left w:type="dxa" w:w="80"/>
              <w:bottom w:type="dxa" w:w="40"/>
              <w:right w:type="dxa" w:w="80"/>
            </w:tcMar>
          </w:tcPr>
          <w:p>
            <w:pPr>
              <w:spacing w:line="220"/>
              <w:jc w:val="left"/>
            </w:pPr>
            <w:r>
              <w:rPr>
                <w:rFonts w:ascii="Times New Roman" w:cs="Times New Roman" w:eastAsia="Times New Roman" w:hAnsi="Times New Roman"/>
                <w:b/>
                <w:bCs/>
                <w:sz w:val="16"/>
                <w:szCs w:val="16"/>
              </w:rPr>
              <w:t xml:space="preserve">Quantity</w:t>
            </w:r>
          </w:p>
        </w:tc>
        <w:tc>
          <w:tcPr>
            <w:tcW w:type="dxa" w:w="1462"/>
            <w:shd w:fill="F2F2F2" w:val="clear"/>
            <w:tcMar>
              <w:top w:type="dxa" w:w="40"/>
              <w:left w:type="dxa" w:w="80"/>
              <w:bottom w:type="dxa" w:w="40"/>
              <w:right w:type="dxa" w:w="80"/>
            </w:tcMar>
          </w:tcPr>
          <w:p>
            <w:pPr>
              <w:spacing w:line="220"/>
              <w:jc w:val="center"/>
            </w:pPr>
            <w:r>
              <w:rPr>
                <w:rFonts w:ascii="Times New Roman" w:cs="Times New Roman" w:eastAsia="Times New Roman" w:hAnsi="Times New Roman"/>
                <w:b/>
                <w:bCs/>
                <w:sz w:val="16"/>
                <w:szCs w:val="16"/>
              </w:rPr>
              <w:t xml:space="preserve">Read</w:t>
            </w:r>
          </w:p>
        </w:tc>
        <w:tc>
          <w:tcPr>
            <w:tcW w:type="dxa" w:w="1461"/>
            <w:shd w:fill="F2F2F2" w:val="clear"/>
            <w:tcMar>
              <w:top w:type="dxa" w:w="40"/>
              <w:left w:type="dxa" w:w="80"/>
              <w:bottom w:type="dxa" w:w="40"/>
              <w:right w:type="dxa" w:w="80"/>
            </w:tcMar>
          </w:tcPr>
          <w:p>
            <w:pPr>
              <w:spacing w:line="220"/>
              <w:jc w:val="center"/>
            </w:pPr>
            <w:r>
              <w:rPr>
                <w:rFonts w:ascii="Times New Roman" w:cs="Times New Roman" w:eastAsia="Times New Roman" w:hAnsi="Times New Roman"/>
                <w:b/>
                <w:bCs/>
                <w:sz w:val="16"/>
                <w:szCs w:val="16"/>
              </w:rPr>
              <w:t xml:space="preserve">Write</w:t>
            </w:r>
          </w:p>
        </w:tc>
      </w:tr>
      <w:tr>
        <w:tc>
          <w:tcPr>
            <w:tcW w:type="dxa" w:w="2117"/>
            <w:tcMar>
              <w:top w:type="dxa" w:w="40"/>
              <w:left w:type="dxa" w:w="80"/>
              <w:bottom w:type="dxa" w:w="40"/>
              <w:right w:type="dxa" w:w="80"/>
            </w:tcMar>
          </w:tcPr>
          <w:p>
            <w:pPr>
              <w:spacing w:line="220"/>
              <w:jc w:val="left"/>
            </w:pPr>
            <w:r>
              <w:rPr>
                <w:rFonts w:ascii="Times New Roman" w:cs="Times New Roman" w:eastAsia="Times New Roman" w:hAnsi="Times New Roman"/>
                <w:b w:val="false"/>
                <w:bCs w:val="false"/>
                <w:sz w:val="16"/>
                <w:szCs w:val="16"/>
              </w:rPr>
              <w:t xml:space="preserve">Budget ratio</w:t>
            </w:r>
          </w:p>
        </w:tc>
        <w:tc>
          <w:tcPr>
            <w:tcW w:type="dxa" w:w="1462"/>
            <w:tcMar>
              <w:top w:type="dxa" w:w="40"/>
              <w:left w:type="dxa" w:w="80"/>
              <w:bottom w:type="dxa" w:w="40"/>
              <w:right w:type="dxa" w:w="80"/>
            </w:tcMar>
          </w:tcPr>
          <w:p>
            <w:pPr>
              <w:spacing w:line="220"/>
              <w:jc w:val="center"/>
            </w:pPr>
            <w:r>
              <w:rPr>
                <w:rFonts w:ascii="Times New Roman" w:cs="Times New Roman" w:eastAsia="Times New Roman" w:hAnsi="Times New Roman"/>
                <w:b/>
                <w:bCs/>
                <w:sz w:val="16"/>
                <w:szCs w:val="16"/>
              </w:rPr>
              <w:t xml:space="preserve">53×</w:t>
            </w:r>
          </w:p>
        </w:tc>
        <w:tc>
          <w:tcPr>
            <w:tcW w:type="dxa" w:w="1461"/>
            <w:tcMar>
              <w:top w:type="dxa" w:w="40"/>
              <w:left w:type="dxa" w:w="80"/>
              <w:bottom w:type="dxa" w:w="40"/>
              <w:right w:type="dxa" w:w="80"/>
            </w:tcMar>
          </w:tcPr>
          <w:p>
            <w:pPr>
              <w:spacing w:line="220"/>
              <w:jc w:val="center"/>
            </w:pPr>
            <w:r>
              <w:rPr>
                <w:rFonts w:ascii="Times New Roman" w:cs="Times New Roman" w:eastAsia="Times New Roman" w:hAnsi="Times New Roman"/>
                <w:b/>
                <w:bCs/>
                <w:sz w:val="16"/>
                <w:szCs w:val="16"/>
              </w:rPr>
              <w:t xml:space="preserve">42.5×</w:t>
            </w:r>
          </w:p>
        </w:tc>
      </w:tr>
      <w:tr>
        <w:tc>
          <w:tcPr>
            <w:tcW w:type="dxa" w:w="2117"/>
            <w:tcMar>
              <w:top w:type="dxa" w:w="40"/>
              <w:left w:type="dxa" w:w="80"/>
              <w:bottom w:type="dxa" w:w="40"/>
              <w:right w:type="dxa" w:w="80"/>
            </w:tcMar>
          </w:tcPr>
          <w:p>
            <w:pPr>
              <w:spacing w:line="220"/>
              <w:jc w:val="left"/>
            </w:pPr>
            <w:r>
              <w:rPr>
                <w:rFonts w:ascii="Times New Roman" w:cs="Times New Roman" w:eastAsia="Times New Roman" w:hAnsi="Times New Roman"/>
                <w:b w:val="false"/>
                <w:bCs w:val="false"/>
                <w:sz w:val="16"/>
                <w:szCs w:val="16"/>
              </w:rPr>
              <w:t xml:space="preserve">V</w:t>
            </w:r>
            <w:r>
              <w:rPr>
                <w:rFonts w:ascii="Times New Roman" w:cs="Times New Roman" w:eastAsia="Times New Roman" w:hAnsi="Times New Roman"/>
                <w:b w:val="false"/>
                <w:bCs w:val="false"/>
                <w:sz w:val="16"/>
                <w:szCs w:val="16"/>
                <w:vertAlign w:val="subscript"/>
              </w:rPr>
              <w:t xml:space="preserve">min</w:t>
            </w:r>
            <w:r>
              <w:rPr>
                <w:rFonts w:ascii="Times New Roman" w:cs="Times New Roman" w:eastAsia="Times New Roman" w:hAnsi="Times New Roman"/>
                <w:b w:val="false"/>
                <w:bCs w:val="false"/>
                <w:sz w:val="16"/>
                <w:szCs w:val="16"/>
              </w:rPr>
              <w:t xml:space="preserve"> RMSE, reduced</w:t>
            </w:r>
          </w:p>
        </w:tc>
        <w:tc>
          <w:tcPr>
            <w:tcW w:type="dxa" w:w="1462"/>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7.51 mV</w:t>
            </w:r>
          </w:p>
        </w:tc>
        <w:tc>
          <w:tcPr>
            <w:tcW w:type="dxa" w:w="1461"/>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8.46 mV</w:t>
            </w:r>
          </w:p>
        </w:tc>
      </w:tr>
      <w:tr>
        <w:tc>
          <w:tcPr>
            <w:tcW w:type="dxa" w:w="2117"/>
            <w:tcMar>
              <w:top w:type="dxa" w:w="40"/>
              <w:left w:type="dxa" w:w="80"/>
              <w:bottom w:type="dxa" w:w="40"/>
              <w:right w:type="dxa" w:w="80"/>
            </w:tcMar>
          </w:tcPr>
          <w:p>
            <w:pPr>
              <w:spacing w:line="220"/>
              <w:jc w:val="left"/>
            </w:pPr>
            <w:r>
              <w:rPr>
                <w:rFonts w:ascii="Times New Roman" w:cs="Times New Roman" w:eastAsia="Times New Roman" w:hAnsi="Times New Roman"/>
                <w:b w:val="false"/>
                <w:bCs w:val="false"/>
                <w:sz w:val="16"/>
                <w:szCs w:val="16"/>
              </w:rPr>
              <w:t xml:space="preserve">V</w:t>
            </w:r>
            <w:r>
              <w:rPr>
                <w:rFonts w:ascii="Times New Roman" w:cs="Times New Roman" w:eastAsia="Times New Roman" w:hAnsi="Times New Roman"/>
                <w:b w:val="false"/>
                <w:bCs w:val="false"/>
                <w:sz w:val="16"/>
                <w:szCs w:val="16"/>
                <w:vertAlign w:val="subscript"/>
              </w:rPr>
              <w:t xml:space="preserve">min</w:t>
            </w:r>
            <w:r>
              <w:rPr>
                <w:rFonts w:ascii="Times New Roman" w:cs="Times New Roman" w:eastAsia="Times New Roman" w:hAnsi="Times New Roman"/>
                <w:b w:val="false"/>
                <w:bCs w:val="false"/>
                <w:sz w:val="16"/>
                <w:szCs w:val="16"/>
              </w:rPr>
              <w:t xml:space="preserve"> RMSE, baseline</w:t>
            </w:r>
          </w:p>
        </w:tc>
        <w:tc>
          <w:tcPr>
            <w:tcW w:type="dxa" w:w="1462"/>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3.98 mV</w:t>
            </w:r>
          </w:p>
        </w:tc>
        <w:tc>
          <w:tcPr>
            <w:tcW w:type="dxa" w:w="1461"/>
            <w:tcMar>
              <w:top w:type="dxa" w:w="40"/>
              <w:left w:type="dxa" w:w="80"/>
              <w:bottom w:type="dxa" w:w="40"/>
              <w:right w:type="dxa" w:w="80"/>
            </w:tcMar>
          </w:tcPr>
          <w:p>
            <w:pPr>
              <w:spacing w:line="220"/>
              <w:jc w:val="center"/>
            </w:pPr>
            <w:r>
              <w:rPr>
                <w:rFonts w:ascii="Times New Roman" w:cs="Times New Roman" w:eastAsia="Times New Roman" w:hAnsi="Times New Roman"/>
                <w:b w:val="false"/>
                <w:bCs w:val="false"/>
                <w:sz w:val="16"/>
                <w:szCs w:val="16"/>
              </w:rPr>
              <w:t xml:space="preserve">5.65 mV</w:t>
            </w:r>
          </w:p>
        </w:tc>
      </w:tr>
      <w:tr>
        <w:tc>
          <w:tcPr>
            <w:tcW w:type="dxa" w:w="2117"/>
            <w:tcMar>
              <w:top w:type="dxa" w:w="40"/>
              <w:left w:type="dxa" w:w="80"/>
              <w:bottom w:type="dxa" w:w="40"/>
              <w:right w:type="dxa" w:w="80"/>
            </w:tcMar>
          </w:tcPr>
          <w:p>
            <w:pPr>
              <w:spacing w:line="220"/>
              <w:jc w:val="left"/>
            </w:pPr>
            <w:r>
              <w:rPr>
                <w:rFonts w:ascii="Times New Roman" w:cs="Times New Roman" w:eastAsia="Times New Roman" w:hAnsi="Times New Roman"/>
                <w:b w:val="false"/>
                <w:bCs w:val="false"/>
                <w:sz w:val="16"/>
                <w:szCs w:val="16"/>
              </w:rPr>
              <w:t xml:space="preserve">Degradation</w:t>
            </w:r>
          </w:p>
        </w:tc>
        <w:tc>
          <w:tcPr>
            <w:tcW w:type="dxa" w:w="1462"/>
            <w:tcMar>
              <w:top w:type="dxa" w:w="40"/>
              <w:left w:type="dxa" w:w="80"/>
              <w:bottom w:type="dxa" w:w="40"/>
              <w:right w:type="dxa" w:w="80"/>
            </w:tcMar>
          </w:tcPr>
          <w:p>
            <w:pPr>
              <w:spacing w:line="220"/>
              <w:jc w:val="center"/>
            </w:pPr>
            <w:r>
              <w:rPr>
                <w:rFonts w:ascii="Times New Roman" w:cs="Times New Roman" w:eastAsia="Times New Roman" w:hAnsi="Times New Roman"/>
                <w:b/>
                <w:bCs/>
                <w:sz w:val="16"/>
                <w:szCs w:val="16"/>
              </w:rPr>
              <w:t xml:space="preserve">+3.5 mV</w:t>
            </w:r>
          </w:p>
        </w:tc>
        <w:tc>
          <w:tcPr>
            <w:tcW w:type="dxa" w:w="1461"/>
            <w:tcMar>
              <w:top w:type="dxa" w:w="40"/>
              <w:left w:type="dxa" w:w="80"/>
              <w:bottom w:type="dxa" w:w="40"/>
              <w:right w:type="dxa" w:w="80"/>
            </w:tcMar>
          </w:tcPr>
          <w:p>
            <w:pPr>
              <w:spacing w:line="220"/>
              <w:jc w:val="center"/>
            </w:pPr>
            <w:r>
              <w:rPr>
                <w:rFonts w:ascii="Times New Roman" w:cs="Times New Roman" w:eastAsia="Times New Roman" w:hAnsi="Times New Roman"/>
                <w:b/>
                <w:bCs/>
                <w:sz w:val="16"/>
                <w:szCs w:val="16"/>
              </w:rPr>
              <w:t xml:space="preserve">+2.8 mV</w:t>
            </w:r>
          </w:p>
        </w:tc>
      </w:tr>
    </w:tbl>
    <w:p>
      <w:pPr>
        <w:spacing w:after="200"/>
      </w:pPr>
    </w:p>
    <w:p>
      <w:pPr>
        <w:spacing w:after="120" w:line="240"/>
        <w:ind w:firstLine="288"/>
        <w:jc w:val="both"/>
      </w:pPr>
      <w:r>
        <w:rPr>
          <w:rFonts w:ascii="Times New Roman" w:cs="Times New Roman" w:eastAsia="Times New Roman" w:hAnsi="Times New Roman"/>
          <w:sz w:val="20"/>
          <w:szCs w:val="20"/>
        </w:rPr>
        <w:t xml:space="preserve">For VLSI designers and process engineers this translates into reduced turn-around time, lower risk of silicon failure, and a deeper physical understanding of the variation-to-yield relationship.</w:t>
      </w:r>
    </w:p>
    <w:p>
      <w:pPr>
        <w:sectPr>
          <w:type w:val="continuous"/>
          <w:pgSz w:w="12240" w:h="15840" w:orient="portrait"/>
          <w:pgMar w:top="1080" w:right="900" w:bottom="1440" w:left="900" w:header="708" w:footer="708" w:gutter="0"/>
          <w:pgNumType/>
          <w:cols w:space="360" w:num="2" w:equalWidth="true"/>
          <w:docGrid w:linePitch="360"/>
        </w:sectPr>
      </w:pPr>
    </w:p>
    <w:p>
      <w:pPr>
        <w:spacing w:after="60" w:before="160"/>
        <w:jc w:val="center"/>
      </w:pPr>
      <w:r>
        <w:drawing>
          <wp:inline distT="0" distB="0" distL="0" distR="0">
            <wp:extent cx="64008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00800" cy="2343150"/>
                    </a:xfrm>
                    <a:prstGeom prst="rect">
                      <a:avLst/>
                    </a:prstGeom>
                  </pic:spPr>
                </pic:pic>
              </a:graphicData>
            </a:graphic>
          </wp:inline>
        </w:drawing>
      </w:r>
    </w:p>
    <w:p>
      <w:pPr>
        <w:spacing w:after="200" w:line="220"/>
        <w:jc w:val="both"/>
      </w:pPr>
      <w:r>
        <w:rPr>
          <w:rFonts w:ascii="Times New Roman" w:cs="Times New Roman" w:eastAsia="Times New Roman" w:hAnsi="Times New Roman"/>
          <w:b/>
          <w:bCs/>
          <w:sz w:val="16"/>
          <w:szCs w:val="16"/>
        </w:rPr>
        <w:t xml:space="preserve">Fig. 7.</w:t>
      </w:r>
      <w:r>
        <w:rPr>
          <w:rFonts w:ascii="Times New Roman" w:cs="Times New Roman" w:eastAsia="Times New Roman" w:hAnsi="Times New Roman"/>
          <w:sz w:val="16"/>
          <w:szCs w:val="16"/>
        </w:rPr>
        <w:t xml:space="preserve">  Budget-reduction trade-off: (a) number of process conditions, (b) MC depth per condition, (c) one factor cut alone against all three cut together. The combined 53× reduction costs +3.5 mV of read V</w:t>
      </w:r>
      <w:r>
        <w:rPr>
          <w:rFonts w:ascii="Times New Roman" w:cs="Times New Roman" w:eastAsia="Times New Roman" w:hAnsi="Times New Roman"/>
          <w:sz w:val="16"/>
          <w:szCs w:val="16"/>
          <w:vertAlign w:val="subscript"/>
        </w:rPr>
        <w:t xml:space="preserve">min</w:t>
      </w:r>
      <w:r>
        <w:rPr>
          <w:rFonts w:ascii="Times New Roman" w:cs="Times New Roman" w:eastAsia="Times New Roman" w:hAnsi="Times New Roman"/>
          <w:sz w:val="16"/>
          <w:szCs w:val="16"/>
        </w:rPr>
        <w:t xml:space="preserve"> RMSE.</w:t>
      </w:r>
    </w:p>
    <w:p>
      <w:pPr>
        <w:sectPr>
          <w:type w:val="continuous"/>
          <w:pgSz w:w="12240" w:h="15840" w:orient="portrait"/>
          <w:pgMar w:top="1080" w:right="900" w:bottom="1440" w:left="900" w:header="708" w:footer="708" w:gutter="0"/>
          <w:pgNumType/>
          <w:cols w:num="1"/>
          <w:docGrid w:linePitch="360"/>
        </w:sectPr>
      </w:pPr>
    </w:p>
    <w:p>
      <w:pPr>
        <w:pStyle w:val="Heading1"/>
        <w:spacing w:after="120" w:before="240"/>
        <w:jc w:val="center"/>
      </w:pPr>
      <w:r>
        <w:rPr>
          <w:rFonts w:ascii="Times New Roman" w:cs="Times New Roman" w:eastAsia="Times New Roman" w:hAnsi="Times New Roman"/>
          <w:sz w:val="20"/>
          <w:szCs w:val="20"/>
        </w:rPr>
        <w:t xml:space="preserve">VII.  Conclusion</w:t>
      </w:r>
    </w:p>
    <w:p>
      <w:pPr>
        <w:spacing w:after="120" w:line="240"/>
        <w:jc w:val="both"/>
      </w:pPr>
      <w:r>
        <w:rPr>
          <w:rFonts w:ascii="Times New Roman" w:cs="Times New Roman" w:eastAsia="Times New Roman" w:hAnsi="Times New Roman"/>
          <w:sz w:val="20"/>
          <w:szCs w:val="20"/>
        </w:rPr>
        <w:t xml:space="preserve">We have presented a physics-guided framework for SRAM V</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 estimation that overcomes the limitations of traditional corner analysis while avoiding the cost of exhaustive Monte Carlo sweeps. By modeling the margin statistics explicitly and retaining an analytic yield relation, the method achieves millivolt-level accuracy in both forward prediction — 3.98 mV RMSE for read and 5.65 mV for write, 8.5 mV and 5.8 mV on four unseen PDK corners with the limiting corner correctly identified — and inverse process recovery at 1.46–1.94 mV RMSE.</w:t>
      </w:r>
    </w:p>
    <w:p>
      <w:pPr>
        <w:spacing w:after="200" w:line="240"/>
        <w:ind w:firstLine="288"/>
        <w:jc w:val="both"/>
      </w:pPr>
      <w:r>
        <w:rPr>
          <w:rFonts w:ascii="Times New Roman" w:cs="Times New Roman" w:eastAsia="Times New Roman" w:hAnsi="Times New Roman"/>
          <w:sz w:val="20"/>
          <w:szCs w:val="20"/>
        </w:rPr>
        <w:t xml:space="preserve">Most critically, the work provides a device-level insight: local mismatch is a dominant driver of read-margin variance, exceeding the impact of the global PMOS threshold shift, with at least 38 % of that variance lying off the conventional corner axes. This exposes a significant blind spot in corner-only verification flows, which may produce optimistic V</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 estimates and yield loss. The Gaussian margin assumption, and whatever tail-shape correction it may eventually require, is left to future work; within it the proposed framework offers a robust, efficient, and interpretable foundation for design-technology co-optimization, connecting statistical variation, yield targets, and actionable process specifications.</w:t>
      </w:r>
    </w:p>
    <w:p>
      <w:pPr>
        <w:pStyle w:val="Heading1"/>
        <w:spacing w:after="120" w:before="240"/>
        <w:jc w:val="center"/>
      </w:pPr>
      <w:r>
        <w:rPr>
          <w:rFonts w:ascii="Times New Roman" w:cs="Times New Roman" w:eastAsia="Times New Roman" w:hAnsi="Times New Roman"/>
          <w:sz w:val="20"/>
          <w:szCs w:val="20"/>
        </w:rPr>
        <w:t xml:space="preserve">References</w:t>
      </w:r>
    </w:p>
    <w:p>
      <w:pPr>
        <w:spacing w:after="60" w:line="220"/>
        <w:ind w:left="360" w:hanging="360"/>
        <w:jc w:val="both"/>
      </w:pPr>
      <w:r>
        <w:rPr>
          <w:rFonts w:ascii="Times New Roman" w:cs="Times New Roman" w:eastAsia="Times New Roman" w:hAnsi="Times New Roman"/>
          <w:sz w:val="16"/>
          <w:szCs w:val="16"/>
        </w:rPr>
        <w:t xml:space="preserve">[1]</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C. Bae, S. Pae, C.-S. Yu, K. Kim, Y. Kim, and J. Park, "SRAM stability design comprehending 14 nm FinFET reliability," in </w:t>
      </w:r>
      <w:r>
        <w:rPr>
          <w:rFonts w:ascii="Times New Roman" w:cs="Times New Roman" w:eastAsia="Times New Roman" w:hAnsi="Times New Roman"/>
          <w:i/>
          <w:iCs/>
          <w:sz w:val="16"/>
          <w:szCs w:val="16"/>
        </w:rPr>
        <w:t xml:space="preserve">Proc. IEEE Int. Rel. Phys. Symp. (IRPS)</w:t>
      </w:r>
      <w:r>
        <w:rPr>
          <w:rFonts w:ascii="Times New Roman" w:cs="Times New Roman" w:eastAsia="Times New Roman" w:hAnsi="Times New Roman"/>
          <w:sz w:val="16"/>
          <w:szCs w:val="16"/>
        </w:rPr>
        <w:t xml:space="preserve">, 2015, pp. MY.13.1–MY.13.5.</w:t>
      </w:r>
    </w:p>
    <w:p>
      <w:pPr>
        <w:spacing w:after="60" w:line="220"/>
        <w:ind w:left="360" w:hanging="360"/>
        <w:jc w:val="both"/>
      </w:pPr>
      <w:r>
        <w:rPr>
          <w:rFonts w:ascii="Times New Roman" w:cs="Times New Roman" w:eastAsia="Times New Roman" w:hAnsi="Times New Roman"/>
          <w:sz w:val="16"/>
          <w:szCs w:val="16"/>
        </w:rPr>
        <w:t xml:space="preserve">[2]</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A. T. Krishnan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"SRAM cell static noise margin and V</w:t>
      </w:r>
      <w:r>
        <w:rPr>
          <w:rFonts w:ascii="Times New Roman" w:cs="Times New Roman" w:eastAsia="Times New Roman" w:hAnsi="Times New Roman"/>
          <w:sz w:val="16"/>
          <w:szCs w:val="16"/>
          <w:vertAlign w:val="subscript"/>
        </w:rPr>
        <w:t xml:space="preserve">MIN</w:t>
      </w:r>
      <w:r>
        <w:rPr>
          <w:rFonts w:ascii="Times New Roman" w:cs="Times New Roman" w:eastAsia="Times New Roman" w:hAnsi="Times New Roman"/>
          <w:sz w:val="16"/>
          <w:szCs w:val="16"/>
        </w:rPr>
        <w:t xml:space="preserve"> sensitivity to transistor degradation," in </w:t>
      </w:r>
      <w:r>
        <w:rPr>
          <w:rFonts w:ascii="Times New Roman" w:cs="Times New Roman" w:eastAsia="Times New Roman" w:hAnsi="Times New Roman"/>
          <w:i/>
          <w:iCs/>
          <w:sz w:val="16"/>
          <w:szCs w:val="16"/>
        </w:rPr>
        <w:t xml:space="preserve">Proc. IEEE Int. Electron Devices Meeting (IEDM)</w:t>
      </w:r>
      <w:r>
        <w:rPr>
          <w:rFonts w:ascii="Times New Roman" w:cs="Times New Roman" w:eastAsia="Times New Roman" w:hAnsi="Times New Roman"/>
          <w:sz w:val="16"/>
          <w:szCs w:val="16"/>
        </w:rPr>
        <w:t xml:space="preserve">, 2006, pp. 1–4.</w:t>
      </w:r>
    </w:p>
    <w:p>
      <w:pPr>
        <w:spacing w:after="60" w:line="220"/>
        <w:ind w:left="360" w:hanging="360"/>
        <w:jc w:val="both"/>
      </w:pPr>
      <w:r>
        <w:rPr>
          <w:rFonts w:ascii="Times New Roman" w:cs="Times New Roman" w:eastAsia="Times New Roman" w:hAnsi="Times New Roman"/>
          <w:sz w:val="16"/>
          <w:szCs w:val="16"/>
        </w:rPr>
        <w:t xml:space="preserve">[3]</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T. Song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"A 14 nm FinFET 128 Mb SRAM with V</w:t>
      </w:r>
      <w:r>
        <w:rPr>
          <w:rFonts w:ascii="Times New Roman" w:cs="Times New Roman" w:eastAsia="Times New Roman" w:hAnsi="Times New Roman"/>
          <w:sz w:val="16"/>
          <w:szCs w:val="16"/>
          <w:vertAlign w:val="subscript"/>
        </w:rPr>
        <w:t xml:space="preserve">MIN</w:t>
      </w:r>
      <w:r>
        <w:rPr>
          <w:rFonts w:ascii="Times New Roman" w:cs="Times New Roman" w:eastAsia="Times New Roman" w:hAnsi="Times New Roman"/>
          <w:sz w:val="16"/>
          <w:szCs w:val="16"/>
        </w:rPr>
        <w:t xml:space="preserve"> enhancement techniques for low-power applications," </w:t>
      </w:r>
      <w:r>
        <w:rPr>
          <w:rFonts w:ascii="Times New Roman" w:cs="Times New Roman" w:eastAsia="Times New Roman" w:hAnsi="Times New Roman"/>
          <w:i/>
          <w:iCs/>
          <w:sz w:val="16"/>
          <w:szCs w:val="16"/>
        </w:rPr>
        <w:t xml:space="preserve">IEEE J. Solid-State Circuits</w:t>
      </w:r>
      <w:r>
        <w:rPr>
          <w:rFonts w:ascii="Times New Roman" w:cs="Times New Roman" w:eastAsia="Times New Roman" w:hAnsi="Times New Roman"/>
          <w:sz w:val="16"/>
          <w:szCs w:val="16"/>
        </w:rPr>
        <w:t xml:space="preserve">, vol. 50, no. 1, pp. 158–169, Jan. 2015.</w:t>
      </w:r>
    </w:p>
    <w:p>
      <w:pPr>
        <w:spacing w:after="60" w:line="220"/>
        <w:ind w:left="360" w:hanging="360"/>
        <w:jc w:val="both"/>
      </w:pPr>
      <w:r>
        <w:rPr>
          <w:rFonts w:ascii="Times New Roman" w:cs="Times New Roman" w:eastAsia="Times New Roman" w:hAnsi="Times New Roman"/>
          <w:sz w:val="16"/>
          <w:szCs w:val="16"/>
        </w:rPr>
        <w:t xml:space="preserve">[4]</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A. Singhee and R. A. Rutenbar, "Statistical blockade: Very fast statistical simulation and modeling of rare circuit events and its application to memory design," </w:t>
      </w:r>
      <w:r>
        <w:rPr>
          <w:rFonts w:ascii="Times New Roman" w:cs="Times New Roman" w:eastAsia="Times New Roman" w:hAnsi="Times New Roman"/>
          <w:i/>
          <w:iCs/>
          <w:sz w:val="16"/>
          <w:szCs w:val="16"/>
        </w:rPr>
        <w:t xml:space="preserve">IEEE Trans. Comput.-Aided Design Integr. Circuits Syst.</w:t>
      </w:r>
      <w:r>
        <w:rPr>
          <w:rFonts w:ascii="Times New Roman" w:cs="Times New Roman" w:eastAsia="Times New Roman" w:hAnsi="Times New Roman"/>
          <w:sz w:val="16"/>
          <w:szCs w:val="16"/>
        </w:rPr>
        <w:t xml:space="preserve">, vol. 28, no. 8, pp. 1176–1189, Aug. 2009.</w:t>
      </w:r>
    </w:p>
    <w:p>
      <w:pPr>
        <w:spacing w:after="60" w:line="220"/>
        <w:ind w:left="360" w:hanging="360"/>
        <w:jc w:val="both"/>
      </w:pPr>
      <w:r>
        <w:rPr>
          <w:rFonts w:ascii="Times New Roman" w:cs="Times New Roman" w:eastAsia="Times New Roman" w:hAnsi="Times New Roman"/>
          <w:sz w:val="16"/>
          <w:szCs w:val="16"/>
        </w:rPr>
        <w:t xml:space="preserve">[5]</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R. Kanj, R. Joshi, and S. Nassif, "Mixture importance sampling and its application to the analysis of SRAM designs in the presence of rare failure events," in </w:t>
      </w:r>
      <w:r>
        <w:rPr>
          <w:rFonts w:ascii="Times New Roman" w:cs="Times New Roman" w:eastAsia="Times New Roman" w:hAnsi="Times New Roman"/>
          <w:i/>
          <w:iCs/>
          <w:sz w:val="16"/>
          <w:szCs w:val="16"/>
        </w:rPr>
        <w:t xml:space="preserve">Proc. 43rd Design Autom. Conf. (DAC)</w:t>
      </w:r>
      <w:r>
        <w:rPr>
          <w:rFonts w:ascii="Times New Roman" w:cs="Times New Roman" w:eastAsia="Times New Roman" w:hAnsi="Times New Roman"/>
          <w:sz w:val="16"/>
          <w:szCs w:val="16"/>
        </w:rPr>
        <w:t xml:space="preserve">, 2006, pp. 69–72.</w:t>
      </w:r>
    </w:p>
    <w:p>
      <w:pPr>
        <w:spacing w:after="60" w:line="220"/>
        <w:ind w:left="360" w:hanging="360"/>
        <w:jc w:val="both"/>
      </w:pPr>
      <w:r>
        <w:rPr>
          <w:rFonts w:ascii="Times New Roman" w:cs="Times New Roman" w:eastAsia="Times New Roman" w:hAnsi="Times New Roman"/>
          <w:sz w:val="16"/>
          <w:szCs w:val="16"/>
        </w:rPr>
        <w:t xml:space="preserve">[6]</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A. Singhee and R. A. Rutenbar, "Why quasi-Monte Carlo is better than Monte Carlo or Latin hypercube sampling for statistical circuit analysis," </w:t>
      </w:r>
      <w:r>
        <w:rPr>
          <w:rFonts w:ascii="Times New Roman" w:cs="Times New Roman" w:eastAsia="Times New Roman" w:hAnsi="Times New Roman"/>
          <w:i/>
          <w:iCs/>
          <w:sz w:val="16"/>
          <w:szCs w:val="16"/>
        </w:rPr>
        <w:t xml:space="preserve">IEEE Trans. Comput.-Aided Design Integr. Circuits Syst.</w:t>
      </w:r>
      <w:r>
        <w:rPr>
          <w:rFonts w:ascii="Times New Roman" w:cs="Times New Roman" w:eastAsia="Times New Roman" w:hAnsi="Times New Roman"/>
          <w:sz w:val="16"/>
          <w:szCs w:val="16"/>
        </w:rPr>
        <w:t xml:space="preserve">, vol. 29, no. 11, pp. 1763–1776, Nov. 2010.</w:t>
      </w:r>
    </w:p>
    <w:p>
      <w:pPr>
        <w:spacing w:after="60" w:line="220"/>
        <w:ind w:left="360" w:hanging="360"/>
        <w:jc w:val="both"/>
      </w:pPr>
      <w:r>
        <w:rPr>
          <w:rFonts w:ascii="Times New Roman" w:cs="Times New Roman" w:eastAsia="Times New Roman" w:hAnsi="Times New Roman"/>
          <w:sz w:val="16"/>
          <w:szCs w:val="16"/>
        </w:rPr>
        <w:t xml:space="preserve">[7]</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S. Yin, X. Jin, L. Shi, K. Wang, and W. W. Xing, "Efficient Bayesian yield analysis and optimization with active learning," in </w:t>
      </w:r>
      <w:r>
        <w:rPr>
          <w:rFonts w:ascii="Times New Roman" w:cs="Times New Roman" w:eastAsia="Times New Roman" w:hAnsi="Times New Roman"/>
          <w:i/>
          <w:iCs/>
          <w:sz w:val="16"/>
          <w:szCs w:val="16"/>
        </w:rPr>
        <w:t xml:space="preserve">Proc. 59th ACM/IEEE Design Autom. Conf. (DAC)</w:t>
      </w:r>
      <w:r>
        <w:rPr>
          <w:rFonts w:ascii="Times New Roman" w:cs="Times New Roman" w:eastAsia="Times New Roman" w:hAnsi="Times New Roman"/>
          <w:sz w:val="16"/>
          <w:szCs w:val="16"/>
        </w:rPr>
        <w:t xml:space="preserve">, 2022, pp. 1195–1200.</w:t>
      </w:r>
    </w:p>
    <w:p>
      <w:pPr>
        <w:spacing w:after="60" w:line="220"/>
        <w:ind w:left="360" w:hanging="360"/>
        <w:jc w:val="both"/>
      </w:pPr>
      <w:r>
        <w:rPr>
          <w:rFonts w:ascii="Times New Roman" w:cs="Times New Roman" w:eastAsia="Times New Roman" w:hAnsi="Times New Roman"/>
          <w:sz w:val="16"/>
          <w:szCs w:val="16"/>
        </w:rPr>
        <w:t xml:space="preserve">[8]</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Y. Liu, G. Dai, and W. W. Xing, "Seeking the yield barrier: High-dimensional SRAM evaluation through optimal manifold," in </w:t>
      </w:r>
      <w:r>
        <w:rPr>
          <w:rFonts w:ascii="Times New Roman" w:cs="Times New Roman" w:eastAsia="Times New Roman" w:hAnsi="Times New Roman"/>
          <w:i/>
          <w:iCs/>
          <w:sz w:val="16"/>
          <w:szCs w:val="16"/>
        </w:rPr>
        <w:t xml:space="preserve">Proc. 60th ACM/IEEE Design Autom. Conf. (DAC)</w:t>
      </w:r>
      <w:r>
        <w:rPr>
          <w:rFonts w:ascii="Times New Roman" w:cs="Times New Roman" w:eastAsia="Times New Roman" w:hAnsi="Times New Roman"/>
          <w:sz w:val="16"/>
          <w:szCs w:val="16"/>
        </w:rPr>
        <w:t xml:space="preserve">, 2023, pp. 1–6.</w:t>
      </w:r>
    </w:p>
    <w:p>
      <w:pPr>
        <w:spacing w:after="60" w:line="220"/>
        <w:ind w:left="360" w:hanging="360"/>
        <w:jc w:val="both"/>
      </w:pPr>
      <w:r>
        <w:rPr>
          <w:rFonts w:ascii="Times New Roman" w:cs="Times New Roman" w:eastAsia="Times New Roman" w:hAnsi="Times New Roman"/>
          <w:sz w:val="16"/>
          <w:szCs w:val="16"/>
        </w:rPr>
        <w:t xml:space="preserve">[9]</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Z. Guo, W. Sun, Z. Wang, Y. Cai, and L. Shi, "An efficient SRAM yield analysis method using multi-fidelity neural network," in </w:t>
      </w:r>
      <w:r>
        <w:rPr>
          <w:rFonts w:ascii="Times New Roman" w:cs="Times New Roman" w:eastAsia="Times New Roman" w:hAnsi="Times New Roman"/>
          <w:i/>
          <w:iCs/>
          <w:sz w:val="16"/>
          <w:szCs w:val="16"/>
        </w:rPr>
        <w:t xml:space="preserve">Proc. 2nd Int. Symp. Electron. Design Autom. (ISEDA)</w:t>
      </w:r>
      <w:r>
        <w:rPr>
          <w:rFonts w:ascii="Times New Roman" w:cs="Times New Roman" w:eastAsia="Times New Roman" w:hAnsi="Times New Roman"/>
          <w:sz w:val="16"/>
          <w:szCs w:val="16"/>
        </w:rPr>
        <w:t xml:space="preserve">, 2024, pp. 547–551.</w:t>
      </w:r>
    </w:p>
    <w:p>
      <w:pPr>
        <w:spacing w:after="60" w:line="220"/>
        <w:ind w:left="360" w:hanging="360"/>
        <w:jc w:val="both"/>
      </w:pPr>
      <w:r>
        <w:rPr>
          <w:rFonts w:ascii="Times New Roman" w:cs="Times New Roman" w:eastAsia="Times New Roman" w:hAnsi="Times New Roman"/>
          <w:sz w:val="16"/>
          <w:szCs w:val="16"/>
        </w:rPr>
        <w:t xml:space="preserve">[10]</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C. E. Rasmussen and C. K. I. Williams, </w:t>
      </w:r>
      <w:r>
        <w:rPr>
          <w:rFonts w:ascii="Times New Roman" w:cs="Times New Roman" w:eastAsia="Times New Roman" w:hAnsi="Times New Roman"/>
          <w:i/>
          <w:iCs/>
          <w:sz w:val="16"/>
          <w:szCs w:val="16"/>
        </w:rPr>
        <w:t xml:space="preserve">Gaussian Processes for Machine Learning</w:t>
      </w:r>
      <w:r>
        <w:rPr>
          <w:rFonts w:ascii="Times New Roman" w:cs="Times New Roman" w:eastAsia="Times New Roman" w:hAnsi="Times New Roman"/>
          <w:sz w:val="16"/>
          <w:szCs w:val="16"/>
        </w:rPr>
        <w:t xml:space="preserve">. Cambridge, MA, USA: MIT Press, 2006.</w:t>
      </w:r>
    </w:p>
    <w:p>
      <w:pPr>
        <w:spacing w:after="60" w:line="220"/>
        <w:ind w:left="360" w:hanging="360"/>
        <w:jc w:val="both"/>
      </w:pPr>
      <w:r>
        <w:rPr>
          <w:rFonts w:ascii="Times New Roman" w:cs="Times New Roman" w:eastAsia="Times New Roman" w:hAnsi="Times New Roman"/>
          <w:sz w:val="16"/>
          <w:szCs w:val="16"/>
        </w:rPr>
        <w:t xml:space="preserve">[11]</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J. R. Gardner, G. Pleiss, D. Bindel, K. Q. Weinberger, and A. G. Wilson, "GPyTorch: Blackbox matrix-matrix Gaussian process inference with GPU acceleration," in </w:t>
      </w:r>
      <w:r>
        <w:rPr>
          <w:rFonts w:ascii="Times New Roman" w:cs="Times New Roman" w:eastAsia="Times New Roman" w:hAnsi="Times New Roman"/>
          <w:i/>
          <w:iCs/>
          <w:sz w:val="16"/>
          <w:szCs w:val="16"/>
        </w:rPr>
        <w:t xml:space="preserve">Proc. Adv. Neural Inf. Process. Syst. (NeurIPS)</w:t>
      </w:r>
      <w:r>
        <w:rPr>
          <w:rFonts w:ascii="Times New Roman" w:cs="Times New Roman" w:eastAsia="Times New Roman" w:hAnsi="Times New Roman"/>
          <w:sz w:val="16"/>
          <w:szCs w:val="16"/>
        </w:rPr>
        <w:t xml:space="preserve">, vol. 31, 2018, pp. 7576–7586.</w:t>
      </w:r>
    </w:p>
    <w:p>
      <w:pPr>
        <w:spacing w:after="60" w:line="220"/>
        <w:ind w:left="360" w:hanging="360"/>
        <w:jc w:val="both"/>
      </w:pPr>
      <w:r>
        <w:rPr>
          <w:rFonts w:ascii="Times New Roman" w:cs="Times New Roman" w:eastAsia="Times New Roman" w:hAnsi="Times New Roman"/>
          <w:sz w:val="16"/>
          <w:szCs w:val="16"/>
        </w:rPr>
        <w:t xml:space="preserve">[12]</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M. J. M. Pelgrom, A. C. J. Duinmaijer, and A. P. G. Welbers, "Matching properties of MOS transistors," </w:t>
      </w:r>
      <w:r>
        <w:rPr>
          <w:rFonts w:ascii="Times New Roman" w:cs="Times New Roman" w:eastAsia="Times New Roman" w:hAnsi="Times New Roman"/>
          <w:i/>
          <w:iCs/>
          <w:sz w:val="16"/>
          <w:szCs w:val="16"/>
        </w:rPr>
        <w:t xml:space="preserve">IEEE J. Solid-State Circuits</w:t>
      </w:r>
      <w:r>
        <w:rPr>
          <w:rFonts w:ascii="Times New Roman" w:cs="Times New Roman" w:eastAsia="Times New Roman" w:hAnsi="Times New Roman"/>
          <w:sz w:val="16"/>
          <w:szCs w:val="16"/>
        </w:rPr>
        <w:t xml:space="preserve">, vol. 24, no. 5, pp. 1433–1439, Oct. 1989.</w:t>
      </w:r>
    </w:p>
    <w:p>
      <w:pPr>
        <w:spacing w:after="60" w:line="220"/>
        <w:ind w:left="360" w:hanging="360"/>
        <w:jc w:val="both"/>
      </w:pPr>
      <w:r>
        <w:rPr>
          <w:rFonts w:ascii="Times New Roman" w:cs="Times New Roman" w:eastAsia="Times New Roman" w:hAnsi="Times New Roman"/>
          <w:sz w:val="16"/>
          <w:szCs w:val="16"/>
        </w:rPr>
        <w:t xml:space="preserve">[13]</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I. M. Sobol', "Global sensitivity indices for nonlinear mathematical models and their Monte Carlo estimates," </w:t>
      </w:r>
      <w:r>
        <w:rPr>
          <w:rFonts w:ascii="Times New Roman" w:cs="Times New Roman" w:eastAsia="Times New Roman" w:hAnsi="Times New Roman"/>
          <w:i/>
          <w:iCs/>
          <w:sz w:val="16"/>
          <w:szCs w:val="16"/>
        </w:rPr>
        <w:t xml:space="preserve">Math. Comput. Simul.</w:t>
      </w:r>
      <w:r>
        <w:rPr>
          <w:rFonts w:ascii="Times New Roman" w:cs="Times New Roman" w:eastAsia="Times New Roman" w:hAnsi="Times New Roman"/>
          <w:sz w:val="16"/>
          <w:szCs w:val="16"/>
        </w:rPr>
        <w:t xml:space="preserve">, vol. 55, no. 1–3, pp. 271–280, Feb. 2001.</w:t>
      </w:r>
    </w:p>
    <w:p>
      <w:pPr>
        <w:spacing w:after="60" w:line="220"/>
        <w:ind w:left="360" w:hanging="360"/>
        <w:jc w:val="both"/>
      </w:pPr>
      <w:r>
        <w:rPr>
          <w:rFonts w:ascii="Times New Roman" w:cs="Times New Roman" w:eastAsia="Times New Roman" w:hAnsi="Times New Roman"/>
          <w:sz w:val="16"/>
          <w:szCs w:val="16"/>
        </w:rPr>
        <w:t xml:space="preserve">[14]</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A. Saltelli, P. Annoni, I. Azzini, F. Campolongo, M. Ratto, and S. Tarantola, "Variance based sensitivity analysis of model output. Design and estimator for the total sensitivity index," </w:t>
      </w:r>
      <w:r>
        <w:rPr>
          <w:rFonts w:ascii="Times New Roman" w:cs="Times New Roman" w:eastAsia="Times New Roman" w:hAnsi="Times New Roman"/>
          <w:i/>
          <w:iCs/>
          <w:sz w:val="16"/>
          <w:szCs w:val="16"/>
        </w:rPr>
        <w:t xml:space="preserve">Comput. Phys. Commun.</w:t>
      </w:r>
      <w:r>
        <w:rPr>
          <w:rFonts w:ascii="Times New Roman" w:cs="Times New Roman" w:eastAsia="Times New Roman" w:hAnsi="Times New Roman"/>
          <w:sz w:val="16"/>
          <w:szCs w:val="16"/>
        </w:rPr>
        <w:t xml:space="preserve">, vol. 181, no. 2, pp. 259–270, Feb. 2010.</w:t>
      </w:r>
    </w:p>
    <w:p>
      <w:pPr>
        <w:spacing w:after="60" w:line="220"/>
        <w:ind w:left="360" w:hanging="360"/>
        <w:jc w:val="both"/>
      </w:pPr>
      <w:r>
        <w:rPr>
          <w:rFonts w:ascii="Times New Roman" w:cs="Times New Roman" w:eastAsia="Times New Roman" w:hAnsi="Times New Roman"/>
          <w:sz w:val="16"/>
          <w:szCs w:val="16"/>
        </w:rPr>
        <w:t xml:space="preserve">[15]</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S. Gupta and B. H. Calhoun, "Dynamic read V</w:t>
      </w:r>
      <w:r>
        <w:rPr>
          <w:rFonts w:ascii="Times New Roman" w:cs="Times New Roman" w:eastAsia="Times New Roman" w:hAnsi="Times New Roman"/>
          <w:sz w:val="16"/>
          <w:szCs w:val="16"/>
          <w:vertAlign w:val="subscript"/>
        </w:rPr>
        <w:t xml:space="preserve">min</w:t>
      </w:r>
      <w:r>
        <w:rPr>
          <w:rFonts w:ascii="Times New Roman" w:cs="Times New Roman" w:eastAsia="Times New Roman" w:hAnsi="Times New Roman"/>
          <w:sz w:val="16"/>
          <w:szCs w:val="16"/>
        </w:rPr>
        <w:t xml:space="preserve"> and yield estimation for nanoscale SRAMs," </w:t>
      </w:r>
      <w:r>
        <w:rPr>
          <w:rFonts w:ascii="Times New Roman" w:cs="Times New Roman" w:eastAsia="Times New Roman" w:hAnsi="Times New Roman"/>
          <w:i/>
          <w:iCs/>
          <w:sz w:val="16"/>
          <w:szCs w:val="16"/>
        </w:rPr>
        <w:t xml:space="preserve">IEEE Trans. Circuits Syst. I, Reg. Papers</w:t>
      </w:r>
      <w:r>
        <w:rPr>
          <w:rFonts w:ascii="Times New Roman" w:cs="Times New Roman" w:eastAsia="Times New Roman" w:hAnsi="Times New Roman"/>
          <w:sz w:val="16"/>
          <w:szCs w:val="16"/>
        </w:rPr>
        <w:t xml:space="preserve">, vol. 68, no. 3, pp. 1171–1182, Mar. 2021.</w:t>
      </w:r>
    </w:p>
    <w:p>
      <w:pPr>
        <w:spacing w:after="60" w:line="220"/>
        <w:ind w:left="360" w:hanging="360"/>
        <w:jc w:val="both"/>
      </w:pPr>
      <w:r>
        <w:rPr>
          <w:rFonts w:ascii="Times New Roman" w:cs="Times New Roman" w:eastAsia="Times New Roman" w:hAnsi="Times New Roman"/>
          <w:sz w:val="16"/>
          <w:szCs w:val="16"/>
        </w:rPr>
        <w:t xml:space="preserve">[16]</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E. Seevinck, F. J. List, and J. Lohstroh, "Static-noise margin analysis of MOS SRAM cells," </w:t>
      </w:r>
      <w:r>
        <w:rPr>
          <w:rFonts w:ascii="Times New Roman" w:cs="Times New Roman" w:eastAsia="Times New Roman" w:hAnsi="Times New Roman"/>
          <w:i/>
          <w:iCs/>
          <w:sz w:val="16"/>
          <w:szCs w:val="16"/>
        </w:rPr>
        <w:t xml:space="preserve">IEEE J. Solid-State Circuits</w:t>
      </w:r>
      <w:r>
        <w:rPr>
          <w:rFonts w:ascii="Times New Roman" w:cs="Times New Roman" w:eastAsia="Times New Roman" w:hAnsi="Times New Roman"/>
          <w:sz w:val="16"/>
          <w:szCs w:val="16"/>
        </w:rPr>
        <w:t xml:space="preserve">, vol. SC-22, no. 5, pp. 748–754, Oct. 1987.</w:t>
      </w:r>
    </w:p>
    <w:sectPr>
      <w:type w:val="continuous"/>
      <w:pgSz w:w="12240" w:h="15840" w:orient="portrait"/>
      <w:pgMar w:top="1080" w:right="900" w:bottom="144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qFormat/>
    <w:rPr>
      <w:rFonts w:ascii="Times New Roman" w:cs="Times New Roman" w:eastAsia="Times New Roman" w:hAnsi="Times New Roman"/>
      <w:b w:val="false"/>
      <w:bCs w:val="false"/>
      <w:smallCaps/>
      <w:sz w:val="20"/>
      <w:szCs w:val="20"/>
    </w:rPr>
  </w:style>
  <w:style w:type="paragraph" w:styleId="Heading2">
    <w:name w:val="Heading 2"/>
    <w:basedOn w:val="Normal"/>
    <w:qFormat/>
    <w:rPr>
      <w:rFonts w:ascii="Times New Roman" w:cs="Times New Roman" w:eastAsia="Times New Roman" w:hAnsi="Times New Roman"/>
      <w:b w:val="false"/>
      <w:bCs w:val="false"/>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09411cb616e0f230a288f74fe265829ad9e4265.png"/><Relationship Id="rId8" Type="http://schemas.openxmlformats.org/officeDocument/2006/relationships/image" Target="media/aaebf5149e6e08dcd428a07ad10f611e59f123ba.png"/><Relationship Id="rId9" Type="http://schemas.openxmlformats.org/officeDocument/2006/relationships/image" Target="media/abb77c587dd1fe940f7aafa959d31aaff8ee827d.png"/><Relationship Id="rId10" Type="http://schemas.openxmlformats.org/officeDocument/2006/relationships/image" Target="media/270309bebddccd5e4e9f9647cb1524112eacc431.png"/><Relationship Id="rId11" Type="http://schemas.openxmlformats.org/officeDocument/2006/relationships/image" Target="media/75ccd06124f4b9218d1c55c660a866e1ebbe56c0.png"/><Relationship Id="rId12" Type="http://schemas.openxmlformats.org/officeDocument/2006/relationships/image" Target="media/adc04459c37231c8473c32d4d06853a5e3b3aaa3.png"/><Relationship Id="rId13" Type="http://schemas.openxmlformats.org/officeDocument/2006/relationships/image" Target="media/4e6235b2176aee6fd7d10a9ee7a22a20ce975bc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2026-09-10T13:21:25.552Z</dcterms:created>
  <dcterms:modified xsi:type="dcterms:W3CDTF">2026-09-10T13:21:25.587Z</dcterms:modified>
</cp:coreProperties>
</file>

<file path=docProps/custom.xml><?xml version="1.0" encoding="utf-8"?>
<Properties xmlns="http://schemas.openxmlformats.org/officeDocument/2006/custom-properties" xmlns:vt="http://schemas.openxmlformats.org/officeDocument/2006/docPropsVTypes"/>
</file>