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劳务中介管理系统｜报价方案总览</w:t>
      </w:r>
    </w:p>
    <w:p>
      <w:r>
        <w:t>项目名称：劳务中介管理系统</w:t>
      </w:r>
    </w:p>
    <w:p>
      <w:r>
        <w:t>客户版文档版本：v4.0</w:t>
      </w:r>
    </w:p>
    <w:p>
      <w:r>
        <w:t>文档日期：2026年10月18日</w:t>
      </w:r>
    </w:p>
    <w:p>
      <w:r>
        <w:t>文档用途：客户首次阅读和方案决策</w:t>
      </w:r>
    </w:p>
    <w:p>
      <w:pPr>
        <w:pStyle w:val="IntenseQuote"/>
      </w:pPr>
      <w:r>
        <w:t>本套文档采用同一份范围、工时、价格、功能和验收口径。合同范围以双方最终签署的《功能清单确认书》为准。</w:t>
      </w:r>
    </w:p>
    <w:p>
      <w:r>
        <w:t>---</w:t>
      </w:r>
    </w:p>
    <w:p>
      <w:pPr>
        <w:pStyle w:val="Heading2"/>
      </w:pPr>
      <w:r>
        <w:t>1. 项目目标</w:t>
      </w:r>
    </w:p>
    <w:p>
      <w:r>
        <w:t>建设一套面向劳务中介公司的业务管理系统，覆盖招聘、员工、工时、工资、借支、返费、保险、财务、合同及外部系统协同等核心流程，减少对微信群和 Excel 的依赖，并为后续多租户 SaaS 演进保留基础。</w:t>
      </w:r>
    </w:p>
    <w:p>
      <w:pPr>
        <w:pStyle w:val="Heading2"/>
      </w:pPr>
      <w:r>
        <w:t>2. 本次报价结论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统一口径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固定总价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**¥152万元**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工时估算基数、风险准备金和合理利润的合计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交付工作量估算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**752人天**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资源规划参考，不作为简单乘法计价依据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业务模块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10个 / 370人天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含外部系统对接模块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支撑模块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6个 / 382人天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含项目管理、测试、部署、培训等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验收标准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**169项**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需求评审阶段固化确认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计划周期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**22周基准计划**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不含客户延迟和第三方等待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技术端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Web + App + 微信小程序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端内功能以功能清单为准</w:t>
            </w:r>
          </w:p>
        </w:tc>
      </w:tr>
    </w:tbl>
    <w:p/>
    <w:p>
      <w:pPr>
        <w:pStyle w:val="Heading2"/>
      </w:pPr>
      <w:r>
        <w:t>3. 价格构成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构成项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金额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占固定总价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工时估算基数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¥112.8万元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74.2%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覆盖预计交付资源投入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风险准备金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¥16.9万元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11.1%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覆盖需求澄清、联调、兼容性、缺陷和交付波动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合理利润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¥22.3万元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14.7%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覆盖经营投入和合理利润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**固定总价**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**¥152万元**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**100%**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**本项目报价总额**</w:t>
            </w:r>
          </w:p>
        </w:tc>
      </w:tr>
    </w:tbl>
    <w:p/>
    <w:p>
      <w:pPr>
        <w:pStyle w:val="IntenseQuote"/>
      </w:pPr>
      <w:r>
        <w:t>本项目不是“人天数 × 单一人天单价”的简单报价。工时明细用于解释工作量和资源安排，固定总价以本报价和正式合同为准。</w:t>
      </w:r>
    </w:p>
    <w:p>
      <w:pPr>
        <w:pStyle w:val="Heading2"/>
      </w:pPr>
      <w:r>
        <w:t>4. 模块工作量与工时基数参考额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工作量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工时基数参考额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范围摘要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模块1：招聘管理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45人天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¥67,500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业务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渠道、岗位、报名、面试、归属与招聘看板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模块2：员工管理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35人天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¥52,500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业务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员工档案、入职、状态与离职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模块3：考勤工时管理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40人天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¥60,000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业务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工时导入、审核、差异申诉与统计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模块4：工资管理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50人天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¥75,000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业务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工资规则、核算、工资条与发放准备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模块5：借支管理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35人天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¥52,500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业务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申请、审批、发放、扣回与接口预留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模块6：返费结算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40人天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¥60,000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业务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人头费、工时费、混合模式与结算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模块7：保险管理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20人天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¥30,000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业务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保险类别、岗位配置与参保信息管理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模块8：财务管理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20人天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¥30,000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业务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收支台账、应收应付与基础利润核算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模块9：合同管理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15人天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¥22,500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业务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合同模板、合同记录与状态管理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模块10：外部系统对接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70人天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¥105,000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业务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临工市场需求接收、竞标、岗位同步、报名去重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模块11：基础设施与架构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40人天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¥60,000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支撑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认证授权、多租户基础、配置、日志与部署基础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模块12：三端集成与联调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30人天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¥45,000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支撑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Web、移动App、微信小程序的数据与接口联调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模块13：测试与质量保障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60人天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¥90,000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支撑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功能、接口、性能、安全与缺陷修复验证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模块14：项目管理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202人天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¥303,000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支撑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需求、设计、进度、沟通、文档与质量管理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模块15：部署与上线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20人天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¥30,000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支撑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生产部署、域名证书、发布准备与上线检查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模块16：培训与试运行支持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30人天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¥45,000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支撑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用户手册、培训、试运行支持与问题跟踪</w:t>
            </w:r>
          </w:p>
        </w:tc>
      </w:tr>
    </w:tbl>
    <w:p/>
    <w:p>
      <w:pPr>
        <w:pStyle w:val="IntenseQuote"/>
      </w:pPr>
      <w:r>
        <w:t>工时基数参考额按综合参考值¥1,500/人天展示，用于解释¥112.8万元工时估算基数，不代表客户可按该单价拆购或结算。</w:t>
      </w:r>
    </w:p>
    <w:p>
      <w:pPr>
        <w:pStyle w:val="Heading2"/>
      </w:pPr>
      <w:r>
        <w:t>5. 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节点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比例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金额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付款时限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合同签订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456000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合同签署且首付款条件满足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签约后3个工作日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需求评审通过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152000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签署《功能清单确认书》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确认书签署后5个工作日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第一期交付验收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304000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第一期交付物验收通过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验收通过后5个工作日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第二期交付验收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304000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第二期交付物验收通过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验收通过后5个工作日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上线试运行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228000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生产环境部署完成并签署《上线确认书》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上线确认后5个工作日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项目最终验收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76000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签署《项目验收报告》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验收报告签署后5个工作日</w:t>
            </w:r>
          </w:p>
        </w:tc>
      </w:tr>
    </w:tbl>
    <w:p/>
    <w:p>
      <w:pPr>
        <w:pStyle w:val="Heading2"/>
      </w:pPr>
      <w:r>
        <w:t>6. 交付边界</w:t>
      </w:r>
    </w:p>
    <w:p>
      <w:pPr>
        <w:pStyle w:val="Heading3"/>
      </w:pPr>
      <w:r>
        <w:t>本次报价包含</w:t>
      </w:r>
    </w:p>
    <w:p>
      <w:pPr>
        <w:pStyle w:val="ListBullet"/>
      </w:pPr>
      <w:r>
        <w:t>16个模块及169项验收标准对应的系统功能；</w:t>
      </w:r>
    </w:p>
    <w:p>
      <w:pPr>
        <w:pStyle w:val="ListBullet"/>
      </w:pPr>
      <w:r>
        <w:t>Web后台、移动App、微信小程序的约定功能；</w:t>
      </w:r>
    </w:p>
    <w:p>
      <w:pPr>
        <w:pStyle w:val="ListBullet"/>
      </w:pPr>
      <w:r>
        <w:t>需求评审、产品/技术设计、开发、测试、部署、培训和试运行支持；</w:t>
      </w:r>
    </w:p>
    <w:p>
      <w:pPr>
        <w:pStyle w:val="ListBullet"/>
      </w:pPr>
      <w:r>
        <w:t>外部系统对接模块的约定接口适配工作，前提是第三方接口资料和联调条件可用；</w:t>
      </w:r>
    </w:p>
    <w:p>
      <w:pPr>
        <w:pStyle w:val="ListBullet"/>
      </w:pPr>
      <w:r>
        <w:t>自项目最终验收通过之日起12个月功能性缺陷维保。</w:t>
      </w:r>
    </w:p>
    <w:p>
      <w:pPr>
        <w:pStyle w:val="Heading3"/>
      </w:pPr>
      <w:r>
        <w:t>本次报价不默认包含</w:t>
      </w:r>
    </w:p>
    <w:p>
      <w:pPr>
        <w:pStyle w:val="ListBullet"/>
      </w:pPr>
      <w:r>
        <w:t>第三方平台或服务费用：云资源、短信、对象存储、支付、电子签、应用市场等；</w:t>
      </w:r>
    </w:p>
    <w:p>
      <w:pPr>
        <w:pStyle w:val="ListBullet"/>
      </w:pPr>
      <w:r>
        <w:t>临工市场第三方平台本身的改造、收费或平台责任；</w:t>
      </w:r>
    </w:p>
    <w:p>
      <w:pPr>
        <w:pStyle w:val="ListBullet"/>
      </w:pPr>
      <w:r>
        <w:t>保险公司、企业现有系统的新增接口开发；</w:t>
      </w:r>
    </w:p>
    <w:p>
      <w:pPr>
        <w:pStyle w:val="ListBullet"/>
      </w:pPr>
      <w:r>
        <w:t>未进入《功能清单确认书》的新功能或新业务规则；</w:t>
      </w:r>
    </w:p>
    <w:p>
      <w:pPr>
        <w:pStyle w:val="ListBullet"/>
      </w:pPr>
      <w:r>
        <w:t>客户历史数据清洗、人工录入和超出约定范围的数据迁移；</w:t>
      </w:r>
    </w:p>
    <w:p>
      <w:pPr>
        <w:pStyle w:val="ListBullet"/>
      </w:pPr>
      <w:r>
        <w:t>7×24小时运维、驻场长期服务和定制化运营服务。</w:t>
      </w:r>
    </w:p>
    <w:p>
      <w:pPr>
        <w:pStyle w:val="Heading2"/>
      </w:pPr>
      <w:r>
        <w:t>7. 前置条件与风险</w:t>
      </w:r>
    </w:p>
    <w:p>
      <w:pPr>
        <w:pStyle w:val="ListBullet"/>
      </w:pPr>
      <w:r>
        <w:t>客户按计划提供业务规则、样例数据、测试账号和验收人员；</w:t>
      </w:r>
    </w:p>
    <w:p>
      <w:pPr>
        <w:pStyle w:val="ListBullet"/>
      </w:pPr>
      <w:r>
        <w:t>临工市场第三方提供接口文档、测试环境和联调人员；</w:t>
      </w:r>
    </w:p>
    <w:p>
      <w:pPr>
        <w:pStyle w:val="ListBullet"/>
      </w:pPr>
      <w:r>
        <w:t>外部支付、保险、电子签等能力以第三方资质、接口和审核结果为准；</w:t>
      </w:r>
    </w:p>
    <w:p>
      <w:pPr>
        <w:pStyle w:val="ListBullet"/>
      </w:pPr>
      <w:r>
        <w:t>客户确认需求后，新增或改变范围须走书面变更流程；</w:t>
      </w:r>
    </w:p>
    <w:p>
      <w:pPr>
        <w:pStyle w:val="ListBullet"/>
      </w:pPr>
      <w:r>
        <w:t>业务量、报名量、利润或纠纷下降比例等经营效果不属于保证性承诺。</w:t>
      </w:r>
    </w:p>
    <w:p>
      <w:pPr>
        <w:pStyle w:val="Heading2"/>
      </w:pPr>
      <w:r>
        <w:t>8. 下一步</w:t>
      </w:r>
    </w:p>
    <w:p>
      <w:pPr>
        <w:pStyle w:val="ListNumber"/>
      </w:pPr>
      <w:r>
        <w:t>双方确认本交付包版本及主体信息；</w:t>
      </w:r>
    </w:p>
    <w:p>
      <w:pPr>
        <w:pStyle w:val="ListNumber"/>
      </w:pPr>
      <w:r>
        <w:t>完成需求评审，签署《功能清单确认书》；</w:t>
      </w:r>
    </w:p>
    <w:p>
      <w:pPr>
        <w:pStyle w:val="ListNumber"/>
      </w:pPr>
      <w:r>
        <w:t>补齐第三方接口及测试条件；</w:t>
      </w:r>
    </w:p>
    <w:p>
      <w:pPr>
        <w:pStyle w:val="ListNumber"/>
      </w:pPr>
      <w:r>
        <w:t>将确认后的范围、价格和计划写入正式合同。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v4.0 | 2026年10月18日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