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劳务中介管理系统｜工时评估明细</w:t>
      </w:r>
    </w:p>
    <w:p>
      <w:r>
        <w:t>项目名称：劳务中介管理系统</w:t>
      </w:r>
    </w:p>
    <w:p>
      <w:r>
        <w:t>客户版文档版本：v4.0</w:t>
      </w:r>
    </w:p>
    <w:p>
      <w:r>
        <w:t>文档日期：2026年10月18日</w:t>
      </w:r>
    </w:p>
    <w:p>
      <w:r>
        <w:t>文档用途：解释交付工作量、资源安排和固定总价构成</w:t>
      </w:r>
    </w:p>
    <w:p>
      <w:pPr>
        <w:pStyle w:val="IntenseQuote"/>
      </w:pPr>
      <w:r>
        <w:t>本套文档采用同一份范围、工时、价格、功能和验收口径。合同范围以双方最终签署的《功能清单确认书》为准。</w:t>
      </w:r>
    </w:p>
    <w:p>
      <w:r>
        <w:t>---</w:t>
      </w:r>
    </w:p>
    <w:p>
      <w:pPr>
        <w:pStyle w:val="Heading2"/>
      </w:pPr>
      <w:r>
        <w:t>1. 评估结论</w:t>
      </w:r>
    </w:p>
    <w:p>
      <w:r>
        <w:t>本项目按当前范围估算交付工作量为 752人天。该数字来自模块级工作量估算，包含产品、设计、开发、测试、项目管理、部署、培训和试运行支持。</w:t>
      </w:r>
    </w:p>
    <w:p>
      <w:r>
        <w:t>固定总价：¥152万元。</w:t>
      </w:r>
    </w:p>
    <w:p>
      <w:r>
        <w:t>价格不是将752人天乘以某个统一单价，而是按以下方式形成：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r/>
            <w:r>
              <w:rPr>
                <w:b/>
                <w:sz w:val="18"/>
              </w:rPr>
              <w:t>构成项</w:t>
            </w:r>
          </w:p>
        </w:tc>
        <w:tc>
          <w:tcPr>
            <w:tcW w:type="dxa" w:w="2556"/>
            <w:vAlign w:val="center"/>
            <w:shd w:fill="D9EAF7"/>
          </w:tcPr>
          <w:p>
            <w:r/>
            <w:r>
              <w:rPr>
                <w:b/>
                <w:sz w:val="18"/>
              </w:rPr>
              <w:t>金额</w:t>
            </w:r>
          </w:p>
        </w:tc>
        <w:tc>
          <w:tcPr>
            <w:tcW w:type="dxa" w:w="2556"/>
            <w:vAlign w:val="center"/>
            <w:shd w:fill="D9EAF7"/>
          </w:tcPr>
          <w:p>
            <w:r/>
            <w:r>
              <w:rPr>
                <w:b/>
                <w:sz w:val="18"/>
              </w:rPr>
              <w:t>占固定总价</w:t>
            </w:r>
          </w:p>
        </w:tc>
        <w:tc>
          <w:tcPr>
            <w:tcW w:type="dxa" w:w="2556"/>
            <w:vAlign w:val="center"/>
            <w:shd w:fill="D9EAF7"/>
          </w:tcPr>
          <w:p>
            <w:r/>
            <w:r>
              <w:rPr>
                <w:b/>
                <w:sz w:val="18"/>
              </w:rPr>
              <w:t>口径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工时估算基数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¥112.8万元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74.2%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覆盖预计交付资源投入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风险准备金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¥16.9万元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11.1%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覆盖需求澄清、联调、兼容性、缺陷和交付波动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合理利润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¥22.3万元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14.7%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覆盖经营投入和合理利润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固定总价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¥152万元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100%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本项目报价总额</w:t>
            </w:r>
          </w:p>
        </w:tc>
      </w:tr>
    </w:tbl>
    <w:p/>
    <w:p>
      <w:pPr>
        <w:pStyle w:val="Heading2"/>
      </w:pPr>
      <w:r>
        <w:t>2. 按模块估算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D9EAF7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045"/>
            <w:vAlign w:val="center"/>
            <w:shd w:fill="D9EAF7"/>
          </w:tcPr>
          <w:p>
            <w:r/>
            <w:r>
              <w:rPr>
                <w:b/>
                <w:sz w:val="18"/>
              </w:rPr>
              <w:t>工作量</w:t>
            </w:r>
          </w:p>
        </w:tc>
        <w:tc>
          <w:tcPr>
            <w:tcW w:type="dxa" w:w="2045"/>
            <w:vAlign w:val="center"/>
            <w:shd w:fill="D9EAF7"/>
          </w:tcPr>
          <w:p>
            <w:r/>
            <w:r>
              <w:rPr>
                <w:b/>
                <w:sz w:val="18"/>
              </w:rPr>
              <w:t>工时基数参考额</w:t>
            </w:r>
          </w:p>
        </w:tc>
        <w:tc>
          <w:tcPr>
            <w:tcW w:type="dxa" w:w="2045"/>
            <w:vAlign w:val="center"/>
            <w:shd w:fill="D9EAF7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2045"/>
            <w:vAlign w:val="center"/>
            <w:shd w:fill="D9EAF7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模块1：招聘管理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45人天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¥67,500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模块2：员工管理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35人天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¥52,500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模块3：考勤工时管理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40人天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¥60,000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模块4：工资管理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50人天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¥75,000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模块5：借支管理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35人天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¥52,500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模块6：返费结算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40人天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¥60,000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模块7：保险管理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20人天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¥30,000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模块8：财务管理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20人天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¥30,000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模块9：合同管理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15人天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¥22,500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模块10：外部系统对接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70人天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¥105,000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业务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模块11：基础设施与架构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40人天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¥60,000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支撑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模块12：三端集成与联调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30人天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¥45,000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支撑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模块13：测试与质量保障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60人天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¥90,000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支撑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模块14：项目管理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202人天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¥303,000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支撑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模块15：部署与上线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20人天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¥30,000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支撑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模块16：培训与试运行支持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30人天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¥45,000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支撑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</w:tbl>
    <w:p/>
    <w:p>
      <w:r>
        <w:t>合计：752人天，工时基数参考额合计¥112.8万元。</w:t>
      </w:r>
    </w:p>
    <w:p>
      <w:pPr>
        <w:pStyle w:val="IntenseQuote"/>
      </w:pPr>
      <w:r>
        <w:t>工时基数参考额按综合参考值¥1,500/人天展示，不是合同人天单价，也不意味着按人天结算。</w:t>
      </w:r>
    </w:p>
    <w:p>
      <w:pPr>
        <w:pStyle w:val="Heading2"/>
      </w:pPr>
      <w:r>
        <w:t>3. 按角色与工作类型估算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角色/工作类型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人天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主要工作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产品与项目管理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需求、计划、沟通、文档和交付管理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后端与架构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235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业务、接口、数据、认证、任务和集成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Web前端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管理后台页面和交互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移动App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移动端约定功能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微信小程序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经纪人、求职者、员工端约定功能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测试与质量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107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功能、接口、性能、安全和回归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UI设计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三端设计规范和关键页面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运维与部署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环境、部署、监控和上线支持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其他交付支持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74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培训、试运行及跨模块协同</w:t>
            </w:r>
          </w:p>
        </w:tc>
      </w:tr>
    </w:tbl>
    <w:p/>
    <w:p>
      <w:pPr>
        <w:pStyle w:val="Heading2"/>
      </w:pPr>
      <w:r>
        <w:t>4. 重点工作量说明</w:t>
      </w:r>
    </w:p>
    <w:p>
      <w:pPr>
        <w:pStyle w:val="Heading3"/>
      </w:pPr>
      <w:r>
        <w:t>4.1 外部系统对接（70人天）</w:t>
      </w:r>
    </w:p>
    <w:p>
      <w:r>
        <w:t>包含劳务需求接收、竞标记录、岗位同步、报名数据去重、增值服务开关、接口适配、日志、重试、基础安全和联调测试。此估算不包含第三方平台本身的改造、资费或不可控审核等待。</w:t>
      </w:r>
    </w:p>
    <w:p>
      <w:pPr>
        <w:pStyle w:val="Heading3"/>
      </w:pPr>
      <w:r>
        <w:t>4.2 三端协同</w:t>
      </w:r>
    </w:p>
    <w:p>
      <w:r>
        <w:t>工作量包含 Web 后台、移动 App、微信小程序的约定功能、接口联调和数据一致性验证；不意味着每个端都复制全部后台功能。</w:t>
      </w:r>
    </w:p>
    <w:p>
      <w:pPr>
        <w:pStyle w:val="Heading3"/>
      </w:pPr>
      <w:r>
        <w:t>4.3 规则类模块</w:t>
      </w:r>
    </w:p>
    <w:p>
      <w:r>
        <w:t>工资、工时、借支和返费均按需求评审阶段确认的参数和规则实现。若客户在确认后新增规则、改变计算口径或增加审批链，按变更流程处理。</w:t>
      </w:r>
    </w:p>
    <w:p>
      <w:pPr>
        <w:pStyle w:val="Heading2"/>
      </w:pPr>
      <w:r>
        <w:t>5. 评估方法与风险</w:t>
      </w:r>
    </w:p>
    <w:p>
      <w:pPr>
        <w:pStyle w:val="ListBullet"/>
      </w:pPr>
      <w:r>
        <w:t>使用模块拆分、历史经验和技术评审进行估算；</w:t>
      </w:r>
    </w:p>
    <w:p>
      <w:pPr>
        <w:pStyle w:val="ListBullet"/>
      </w:pPr>
      <w:r>
        <w:t>工作量是当前范围下的计划估算，不是对某个具体人员投入的承诺；</w:t>
      </w:r>
    </w:p>
    <w:p>
      <w:pPr>
        <w:pStyle w:val="ListBullet"/>
      </w:pPr>
      <w:r>
        <w:t>风险准备金已纳入固定总价，但不作为单独可抵扣或自动返还项目；</w:t>
      </w:r>
    </w:p>
    <w:p>
      <w:pPr>
        <w:pStyle w:val="ListBullet"/>
      </w:pPr>
      <w:r>
        <w:t>第三方接口、应用市场审核、客户反馈和数据质量可能影响实际日历周期；</w:t>
      </w:r>
    </w:p>
    <w:p>
      <w:pPr>
        <w:pStyle w:val="ListBullet"/>
      </w:pPr>
      <w:r>
        <w:t>客户原因、第三方原因或经确认的范围变更导致的延期，按照商务条款调整计划。</w:t>
      </w:r>
    </w:p>
    <w:p>
      <w:pPr>
        <w:pStyle w:val="Heading2"/>
      </w:pPr>
      <w:r>
        <w:t>6. 质量投入</w:t>
      </w:r>
    </w:p>
    <w:p>
      <w:pPr>
        <w:pStyle w:val="ListBullet"/>
      </w:pPr>
      <w:r>
        <w:t>需求评审和功能清单确认；</w:t>
      </w:r>
    </w:p>
    <w:p>
      <w:pPr>
        <w:pStyle w:val="ListBullet"/>
      </w:pPr>
      <w:r>
        <w:t>代码评审、接口测试、功能测试和回归测试；</w:t>
      </w:r>
    </w:p>
    <w:p>
      <w:pPr>
        <w:pStyle w:val="ListBullet"/>
      </w:pPr>
      <w:r>
        <w:t>重点计算模块的明细可追溯；</w:t>
      </w:r>
    </w:p>
    <w:p>
      <w:pPr>
        <w:pStyle w:val="ListBullet"/>
      </w:pPr>
      <w:r>
        <w:t>上线检查、培训和试运行问题跟踪；</w:t>
      </w:r>
    </w:p>
    <w:p>
      <w:pPr>
        <w:pStyle w:val="ListBullet"/>
      </w:pPr>
      <w:r>
        <w:t>具体性能指标、兼容性范围和安全测试深度以需求评审结果为准。</w:t>
      </w:r>
    </w:p>
    <w:p>
      <w:pPr>
        <w:pStyle w:val="Heading2"/>
      </w:pPr>
      <w:r>
        <w:t>7. 客户可见口径与内部成本边界</w:t>
      </w:r>
    </w:p>
    <w:p>
      <w:r>
        <w:t>本文件不披露个人薪资、人员数量、单人日薪及内部成本分摊。客户可据此了解工作量和价格构成，但不应据此推导人员配置或要求按人天结算。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v4.0 | 2026年10月18日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