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劳务中介管理系统｜功能清单详解</w:t>
      </w:r>
    </w:p>
    <w:p>
      <w:r>
        <w:t>项目名称：劳务中介管理系统</w:t>
      </w:r>
    </w:p>
    <w:p>
      <w:r>
        <w:t>客户版文档版本：v4.0</w:t>
      </w:r>
    </w:p>
    <w:p>
      <w:r>
        <w:t>文档日期：2026年10月18日</w:t>
      </w:r>
    </w:p>
    <w:p>
      <w:r>
        <w:t>文档用途：逐项说明功能、验收方式和实施前置条件</w:t>
      </w:r>
    </w:p>
    <w:p>
      <w:pPr>
        <w:pStyle w:val="IntenseQuote"/>
      </w:pPr>
      <w:r>
        <w:t>本套文档采用同一份范围、工时、价格、功能和验收口径。合同范围以双方最终签署的《功能清单确认书》为准。</w:t>
      </w:r>
    </w:p>
    <w:p>
      <w:r>
        <w:t>---</w:t>
      </w:r>
    </w:p>
    <w:p>
      <w:pPr>
        <w:pStyle w:val="Heading2"/>
      </w:pPr>
      <w:r>
        <w:t>1. 验收总则</w:t>
      </w:r>
    </w:p>
    <w:p>
      <w:pPr>
        <w:pStyle w:val="ListBullet"/>
      </w:pPr>
      <w:r>
        <w:t>本文档共169项验收标准：10个业务模块145项、6个支撑模块24项。</w:t>
      </w:r>
    </w:p>
    <w:p>
      <w:pPr>
        <w:pStyle w:val="ListBullet"/>
      </w:pPr>
      <w:r>
        <w:t>每项验收应具备可执行的测试步骤、测试数据和预期结果。</w:t>
      </w:r>
    </w:p>
    <w:p>
      <w:pPr>
        <w:pStyle w:val="ListBullet"/>
      </w:pPr>
      <w:r>
        <w:t>“功能可用”不等于业务规则无限扩展；规则以双方确认的参数、角色和流程为准。</w:t>
      </w:r>
    </w:p>
    <w:p>
      <w:pPr>
        <w:pStyle w:val="ListBullet"/>
      </w:pPr>
      <w:r>
        <w:t>外部系统功能以双方约定的接口契约和第三方测试环境结果为准。</w:t>
      </w:r>
    </w:p>
    <w:p>
      <w:pPr>
        <w:pStyle w:val="Heading2"/>
      </w:pPr>
      <w:r>
        <w:t>模块1：招聘管理（20项验收标准）</w:t>
      </w:r>
    </w:p>
    <w:p>
      <w:r>
        <w:t>工作量参考：45人天　 工时基数参考额：¥67,500　 优先级：P0</w:t>
      </w:r>
    </w:p>
    <w:p>
      <w:r>
        <w:t>范围摘要：渠道、岗位、报名、面试、归属与招聘看板</w:t>
      </w:r>
    </w:p>
    <w:p>
      <w:pPr>
        <w:pStyle w:val="Heading3"/>
      </w:pPr>
      <w:r>
        <w:t>功能与验收标准</w:t>
      </w:r>
    </w:p>
    <w:p>
      <w:pPr>
        <w:pStyle w:val="ListNumber"/>
      </w:pPr>
      <w:r>
        <w:t>**功能**：招聘渠道档案管理。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**功能**：内部招聘专员账号管理。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**功能**：外部经纪人账号管理。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**功能**：岗位创建与编辑。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**功能**：岗位发布、下架与状态管理。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**功能**：招聘人数、工价和要求配置。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**功能**：报名链接生成。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**功能**：二维码或海报生成。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**功能**：报名信息采集。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**功能**：报名来源归属记录。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**功能**：身份证号或手机号重复提示。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**功能**：候选人筛选。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**功能**：候选人批量导入与导出。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**功能**：面试安排。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**功能**：面试通知记录。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**功能**：面试结果记录。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**功能**：待入职名单管理。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**功能**：招聘进度统计。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**功能**：渠道效果统计。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**功能**：招聘操作日志。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Heading2"/>
      </w:pPr>
      <w:r>
        <w:t>模块2：员工管理（18项验收标准）</w:t>
      </w:r>
    </w:p>
    <w:p>
      <w:r>
        <w:t>工作量参考：35人天　 工时基数参考额：¥52,500　 优先级：P0</w:t>
      </w:r>
    </w:p>
    <w:p>
      <w:r>
        <w:t>范围摘要：员工档案、入职、状态与离职</w:t>
      </w:r>
    </w:p>
    <w:p>
      <w:pPr>
        <w:pStyle w:val="Heading3"/>
      </w:pPr>
      <w:r>
        <w:t>功能与验收标准</w:t>
      </w:r>
    </w:p>
    <w:p>
      <w:pPr>
        <w:pStyle w:val="ListNumber"/>
      </w:pPr>
      <w:r>
        <w:t>**功能**：员工档案维护。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**功能**：员工基础字段配置。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**功能**：敏感字段脱敏展示。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**功能**：证件与银行卡资料上传。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**功能**：身份资料校验记录。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**功能**：入职办理与状态流转。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**功能**：入职材料审核。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**功能**：员工项目关联。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**功能**：员工岗位关联。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**功能**：在职、离职和待入职状态管理。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**功能**：员工批量导入。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**功能**：员工查询与筛选。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**功能**：员工标签管理。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**功能**：员工转岗记录。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**功能**：离职登记。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**功能**：离职原因记录。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**功能**：与借支、工资和返费联动。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**功能**：员工数据导出。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Heading2"/>
      </w:pPr>
      <w:r>
        <w:t>模块3：考勤工时管理（14项验收标准）</w:t>
      </w:r>
    </w:p>
    <w:p>
      <w:r>
        <w:t>工作量参考：40人天　 工时基数参考额：¥60,000　 优先级：P0</w:t>
      </w:r>
    </w:p>
    <w:p>
      <w:r>
        <w:t>范围摘要：工时导入、审核、差异申诉与统计</w:t>
      </w:r>
    </w:p>
    <w:p>
      <w:pPr>
        <w:pStyle w:val="Heading3"/>
      </w:pPr>
      <w:r>
        <w:t>功能与验收标准</w:t>
      </w:r>
    </w:p>
    <w:p>
      <w:pPr>
        <w:pStyle w:val="ListNumber"/>
      </w:pPr>
      <w:r>
        <w:t>**功能**：工厂考勤数据导入。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**功能**：员工自报工时录入。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**功能**：工时审核与锁定。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**功能**：工时异常提示。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**功能**：工厂与员工工时差异对比。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**功能**：员工发起工时申诉。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**功能**：驻场或人事复核。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**功能**：差异裁决与留痕。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**功能**：按项目统计工时。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**功能**：按岗位统计工时。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**功能**：按员工统计工时。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**功能**：工时批次管理。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**功能**：工时数据导出。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**功能**：工时修改权限控制。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Heading2"/>
      </w:pPr>
      <w:r>
        <w:t>模块4：工资管理（19项验收标准）</w:t>
      </w:r>
    </w:p>
    <w:p>
      <w:r>
        <w:t>工作量参考：50人天　 工时基数参考额：¥75,000　 优先级：P0</w:t>
      </w:r>
    </w:p>
    <w:p>
      <w:r>
        <w:t>范围摘要：工资规则、核算、工资条与发放准备</w:t>
      </w:r>
    </w:p>
    <w:p>
      <w:pPr>
        <w:pStyle w:val="Heading3"/>
      </w:pPr>
      <w:r>
        <w:t>功能与验收标准</w:t>
      </w:r>
    </w:p>
    <w:p>
      <w:pPr>
        <w:pStyle w:val="ListNumber"/>
      </w:pPr>
      <w:r>
        <w:t>**功能**：工资政策配置。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**功能**：日结工与月结工规则区分。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**功能**：工价配置。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**功能**：底薪配置。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**功能**：加班规则配置。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**功能**：补贴规则配置。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**功能**：扣款规则配置。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**功能**：工资计算批次。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**功能**：计算前数据校验。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**功能**：工资试算。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**功能**：工资重算。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**功能**：工资批次锁定。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**功能**：工资明细追溯。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**功能**：工资计算说明。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**功能**：工资条生成。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**功能**：员工工资条查询。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**功能**：工资发放准备清单。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**功能**：发放状态记录。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**功能**：工资操作日志。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Heading2"/>
      </w:pPr>
      <w:r>
        <w:t>模块5：借支管理（12项验收标准）</w:t>
      </w:r>
    </w:p>
    <w:p>
      <w:r>
        <w:t>工作量参考：35人天　 工时基数参考额：¥52,500　 优先级：P1</w:t>
      </w:r>
    </w:p>
    <w:p>
      <w:r>
        <w:t>范围摘要：申请、审批、发放、扣回与接口预留</w:t>
      </w:r>
    </w:p>
    <w:p>
      <w:pPr>
        <w:pStyle w:val="Heading3"/>
      </w:pPr>
      <w:r>
        <w:t>功能与验收标准</w:t>
      </w:r>
    </w:p>
    <w:p>
      <w:pPr>
        <w:pStyle w:val="ListNumber"/>
      </w:pPr>
      <w:r>
        <w:t>**功能**：借支额度配置。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**功能**：借支次数配置。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**功能**：借支审批规则配置。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**功能**：员工借支申请。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**功能**：借支审批流程。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**功能**：审批记录查询。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**功能**：打款信息登记。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**功能**：借支台账。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**功能**：借支状态管理。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**功能**：发薪自动扣回记录。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**功能**：利息或手续费字段预留。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**功能**：借支数据导出。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Heading2"/>
      </w:pPr>
      <w:r>
        <w:t>模块6：返费结算（15项验收标准）</w:t>
      </w:r>
    </w:p>
    <w:p>
      <w:r>
        <w:t>工作量参考：40人天　 工时基数参考额：¥60,000　 优先级：P0</w:t>
      </w:r>
    </w:p>
    <w:p>
      <w:r>
        <w:t>范围摘要：人头费、工时费、混合模式与结算</w:t>
      </w:r>
    </w:p>
    <w:p>
      <w:pPr>
        <w:pStyle w:val="Heading3"/>
      </w:pPr>
      <w:r>
        <w:t>功能与验收标准</w:t>
      </w:r>
    </w:p>
    <w:p>
      <w:pPr>
        <w:pStyle w:val="ListNumber"/>
      </w:pPr>
      <w:r>
        <w:t>**功能**：按岗位配置返费政策。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**功能**：人头费模式。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**功能**：工时费模式。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**功能**：混合模式。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**功能**：达标天数配置。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**功能**：工时起算条件配置。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**功能**：返费上限配置。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**功能**：返费试算。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**功能**：返费达标判断。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**功能**：未达标场景标记。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**功能**：离职场景标记。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**功能**：返费明细追溯。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**功能**：经纪人结算单。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**功能**：返费审批状态。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**功能**：返费数据导出。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Heading2"/>
      </w:pPr>
      <w:r>
        <w:t>模块7：保险管理（8项验收标准）</w:t>
      </w:r>
    </w:p>
    <w:p>
      <w:r>
        <w:t>工作量参考：20人天　 工时基数参考额：¥30,000　 优先级：P1</w:t>
      </w:r>
    </w:p>
    <w:p>
      <w:r>
        <w:t>范围摘要：保险类别、岗位配置与参保信息管理</w:t>
      </w:r>
    </w:p>
    <w:p>
      <w:pPr>
        <w:pStyle w:val="Heading3"/>
      </w:pPr>
      <w:r>
        <w:t>功能与验收标准</w:t>
      </w:r>
    </w:p>
    <w:p>
      <w:pPr>
        <w:pStyle w:val="ListNumber"/>
      </w:pPr>
      <w:r>
        <w:t>**功能**：保险类别配置。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**功能**：岗位与保险类别关联。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**功能**：员工参保信息登记。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**功能**：保费和服务费记录。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**功能**：参保状态查询。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**功能**：保险数据导入。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**功能**：保险数据导出。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**功能**：保险接口扩展字段预留。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Heading2"/>
      </w:pPr>
      <w:r>
        <w:t>模块8：财务管理（8项验收标准）</w:t>
      </w:r>
    </w:p>
    <w:p>
      <w:r>
        <w:t>工作量参考：20人天　 工时基数参考额：¥30,000　 优先级：P1</w:t>
      </w:r>
    </w:p>
    <w:p>
      <w:r>
        <w:t>范围摘要：收支台账、应收应付与基础利润核算</w:t>
      </w:r>
    </w:p>
    <w:p>
      <w:pPr>
        <w:pStyle w:val="Heading3"/>
      </w:pPr>
      <w:r>
        <w:t>功能与验收标准</w:t>
      </w:r>
    </w:p>
    <w:p>
      <w:pPr>
        <w:pStyle w:val="ListNumber"/>
      </w:pPr>
      <w:r>
        <w:t>**功能**：基础收支台账。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**功能**：应收登记。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**功能**：应付登记。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**功能**：项目收入与成本关联。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**功能**：项目基础利润汇总。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**功能**：付款与收款状态。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**功能**：财务数据筛选查询。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**功能**：财务数据导出。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Heading2"/>
      </w:pPr>
      <w:r>
        <w:t>模块9：合同管理（6项验收标准）</w:t>
      </w:r>
    </w:p>
    <w:p>
      <w:r>
        <w:t>工作量参考：15人天　 工时基数参考额：¥22,500　 优先级：P1</w:t>
      </w:r>
    </w:p>
    <w:p>
      <w:r>
        <w:t>范围摘要：合同模板、合同记录与状态管理</w:t>
      </w:r>
    </w:p>
    <w:p>
      <w:pPr>
        <w:pStyle w:val="Heading3"/>
      </w:pPr>
      <w:r>
        <w:t>功能与验收标准</w:t>
      </w:r>
    </w:p>
    <w:p>
      <w:pPr>
        <w:pStyle w:val="ListNumber"/>
      </w:pPr>
      <w:r>
        <w:t>**功能**：合同模板维护。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**功能**：合同记录与对象关联。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**功能**：合同状态管理。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**功能**：合同有效期提醒。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**功能**：合同附件管理。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**功能**：合同数据导出。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Heading2"/>
      </w:pPr>
      <w:r>
        <w:t>模块10：外部系统对接（25项验收标准）</w:t>
      </w:r>
    </w:p>
    <w:p>
      <w:r>
        <w:t>工作量参考：70人天　 工时基数参考额：¥105,000　 优先级：P1</w:t>
      </w:r>
    </w:p>
    <w:p>
      <w:r>
        <w:t>范围摘要：临工市场需求接收、竞标、岗位同步、报名去重</w:t>
      </w:r>
    </w:p>
    <w:p>
      <w:pPr>
        <w:pStyle w:val="Heading3"/>
      </w:pPr>
      <w:r>
        <w:t>功能与验收标准</w:t>
      </w:r>
    </w:p>
    <w:p>
      <w:pPr>
        <w:pStyle w:val="ListNumber"/>
      </w:pPr>
      <w:r>
        <w:t>**功能**：接收临工市场劳务需求Webhook或API。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**功能**：劳务需求列表。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**功能**：劳务需求详情。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**功能**：劳务需求筛选。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**功能**：竞标记录创建。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**功能**：竞标状态跟踪。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**功能**：竞标材料上传。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**功能**：竞标提交。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**功能**：保证金状态记录或回调处理。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**功能**：中标通知接收。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**功能**：中标后创建项目。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**功能**：中标后创建岗位。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**功能**：岗位同步开关。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**功能**：岗位字段映射。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**功能**：岗位信息脱敏推送。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**功能**：岗位同步状态。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**功能**：岗位同步日志。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**功能**：报名数据接收。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**功能**：按约定标识执行去重。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**功能**：保护期规则配置。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**功能**：渠道归属识别。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**功能**：人工裁定入口。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**功能**：失败重试记录。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**功能**：接口签名校验。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**功能**：接口幂等与基础对账。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Heading2"/>
      </w:pPr>
      <w:r>
        <w:t>模块11：基础设施与架构（4项验收标准）</w:t>
      </w:r>
    </w:p>
    <w:p>
      <w:r>
        <w:t>工作量参考：40人天　 工时基数参考额：¥60,000　 优先级：P0</w:t>
      </w:r>
    </w:p>
    <w:p>
      <w:r>
        <w:t>范围摘要：认证授权、多租户基础、配置、日志与部署基础</w:t>
      </w:r>
    </w:p>
    <w:p>
      <w:pPr>
        <w:pStyle w:val="Heading3"/>
      </w:pPr>
      <w:r>
        <w:t>功能与验收标准</w:t>
      </w:r>
    </w:p>
    <w:p>
      <w:pPr>
        <w:pStyle w:val="ListNumber"/>
      </w:pPr>
      <w:r>
        <w:t>**功能**：基础框架与环境配置。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**功能**：统一认证与权限基础。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**功能**：多租户数据隔离基础。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**功能**：日志、异常和文件服务。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Heading2"/>
      </w:pPr>
      <w:r>
        <w:t>模块12：三端集成与联调（4项验收标准）</w:t>
      </w:r>
    </w:p>
    <w:p>
      <w:r>
        <w:t>工作量参考：30人天　 工时基数参考额：¥45,000　 优先级：P0</w:t>
      </w:r>
    </w:p>
    <w:p>
      <w:r>
        <w:t>范围摘要：Web、移动App、微信小程序的数据与接口联调</w:t>
      </w:r>
    </w:p>
    <w:p>
      <w:pPr>
        <w:pStyle w:val="Heading3"/>
      </w:pPr>
      <w:r>
        <w:t>功能与验收标准</w:t>
      </w:r>
    </w:p>
    <w:p>
      <w:pPr>
        <w:pStyle w:val="ListNumber"/>
      </w:pPr>
      <w:r>
        <w:t>**功能**：Web后台接口联调。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**功能**：移动App接口联调。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**功能**：微信小程序接口联调。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**功能**：三端数据一致性验证。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Heading2"/>
      </w:pPr>
      <w:r>
        <w:t>模块13：测试与质量保障（5项验收标准）</w:t>
      </w:r>
    </w:p>
    <w:p>
      <w:r>
        <w:t>工作量参考：60人天　 工时基数参考额：¥90,000　 优先级：P0</w:t>
      </w:r>
    </w:p>
    <w:p>
      <w:r>
        <w:t>范围摘要：功能、接口、性能、安全与缺陷修复验证</w:t>
      </w:r>
    </w:p>
    <w:p>
      <w:pPr>
        <w:pStyle w:val="Heading3"/>
      </w:pPr>
      <w:r>
        <w:t>功能与验收标准</w:t>
      </w:r>
    </w:p>
    <w:p>
      <w:pPr>
        <w:pStyle w:val="ListNumber"/>
      </w:pPr>
      <w:r>
        <w:t>**功能**：功能测试。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**功能**：接口测试。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**功能**：性能测试。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**功能**：基础安全测试。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**功能**：缺陷修复与回归测试。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Heading2"/>
      </w:pPr>
      <w:r>
        <w:t>模块14：项目管理（4项验收标准）</w:t>
      </w:r>
    </w:p>
    <w:p>
      <w:r>
        <w:t>工作量参考：202人天　 工时基数参考额：¥303,000　 优先级：P0</w:t>
      </w:r>
    </w:p>
    <w:p>
      <w:r>
        <w:t>范围摘要：需求、设计、进度、沟通、文档与质量管理</w:t>
      </w:r>
    </w:p>
    <w:p>
      <w:pPr>
        <w:pStyle w:val="Heading3"/>
      </w:pPr>
      <w:r>
        <w:t>功能与验收标准</w:t>
      </w:r>
    </w:p>
    <w:p>
      <w:pPr>
        <w:pStyle w:val="ListNumber"/>
      </w:pPr>
      <w:r>
        <w:t>**功能**：需求与计划管理。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**功能**：进度与周报管理。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**功能**：会议与决策记录。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**功能**：风险与变更管理。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Heading2"/>
      </w:pPr>
      <w:r>
        <w:t>模块15：部署与上线（3项验收标准）</w:t>
      </w:r>
    </w:p>
    <w:p>
      <w:r>
        <w:t>工作量参考：20人天　 工时基数参考额：¥30,000　 优先级：P0</w:t>
      </w:r>
    </w:p>
    <w:p>
      <w:r>
        <w:t>范围摘要：生产部署、域名证书、发布准备与上线检查</w:t>
      </w:r>
    </w:p>
    <w:p>
      <w:pPr>
        <w:pStyle w:val="Heading3"/>
      </w:pPr>
      <w:r>
        <w:t>功能与验收标准</w:t>
      </w:r>
    </w:p>
    <w:p>
      <w:pPr>
        <w:pStyle w:val="ListNumber"/>
      </w:pPr>
      <w:r>
        <w:t>**功能**：生产环境部署。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**功能**：域名与SSL配置。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**功能**：发布准备与上线检查。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Heading2"/>
      </w:pPr>
      <w:r>
        <w:t>模块16：培训与试运行支持（4项验收标准）</w:t>
      </w:r>
    </w:p>
    <w:p>
      <w:r>
        <w:t>工作量参考：30人天　 工时基数参考额：¥45,000　 优先级：P1</w:t>
      </w:r>
    </w:p>
    <w:p>
      <w:r>
        <w:t>范围摘要：用户手册、培训、试运行支持与问题跟踪</w:t>
      </w:r>
    </w:p>
    <w:p>
      <w:pPr>
        <w:pStyle w:val="Heading3"/>
      </w:pPr>
      <w:r>
        <w:t>功能与验收标准</w:t>
      </w:r>
    </w:p>
    <w:p>
      <w:pPr>
        <w:pStyle w:val="ListNumber"/>
      </w:pPr>
      <w:r>
        <w:t>**功能**：用户手册和培训材料。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**功能**：角色培训实施。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**功能**：试运行支持与问题闭环。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ListNumber"/>
      </w:pPr>
      <w:r>
        <w:t>**功能**：交付资料整理。</w:t>
      </w:r>
    </w:p>
    <w:p>
      <w:r>
        <w:t xml:space="preserve">   - 验收：使用约定角色和测试数据执行正向、异常和权限场景，结果可查询、可追溯，并符合双方确认的业务规则。</w:t>
      </w:r>
    </w:p>
    <w:p>
      <w:pPr>
        <w:pStyle w:val="Heading2"/>
      </w:pPr>
      <w:r>
        <w:t>3. 外部系统对接前置条件</w:t>
      </w:r>
    </w:p>
    <w:p>
      <w:pPr>
        <w:pStyle w:val="ListNumber"/>
      </w:pPr>
      <w:r>
        <w:t>第三方提供正式接口文档、字段说明、鉴权方式、错误码、测试环境和测试账号；</w:t>
      </w:r>
    </w:p>
    <w:p>
      <w:pPr>
        <w:pStyle w:val="ListNumber"/>
      </w:pPr>
      <w:r>
        <w:t>第三方明确Webhook/API调用限制、回调重试、数据时效和幂等规则；</w:t>
      </w:r>
    </w:p>
    <w:p>
      <w:pPr>
        <w:pStyle w:val="ListNumber"/>
      </w:pPr>
      <w:r>
        <w:t>双方指定技术联系人并安排联调窗口；</w:t>
      </w:r>
    </w:p>
    <w:p>
      <w:pPr>
        <w:pStyle w:val="ListNumber"/>
      </w:pPr>
      <w:r>
        <w:t>保证金、支付、退款、资质审核等业务由第三方接口实际能力决定；</w:t>
      </w:r>
    </w:p>
    <w:p>
      <w:pPr>
        <w:pStyle w:val="ListNumber"/>
      </w:pPr>
      <w:r>
        <w:t>如果接口在开发中发生不兼容变更，双方先评估影响，再通过变更单调整范围、工期或费用。</w:t>
      </w:r>
    </w:p>
    <w:p>
      <w:pPr>
        <w:pStyle w:val="Heading2"/>
      </w:pPr>
      <w:r>
        <w:t>4. 统一验收方式</w:t>
      </w:r>
    </w:p>
    <w:p>
      <w:pPr>
        <w:pStyle w:val="ListBullet"/>
      </w:pPr>
      <w:r>
        <w:t>客户在收到阶段交付物后5个工作日内组织验收或提交书面问题清单；</w:t>
      </w:r>
    </w:p>
    <w:p>
      <w:pPr>
        <w:pStyle w:val="ListBullet"/>
      </w:pPr>
      <w:r>
        <w:t>问题清单应关联具体验收项，不以笼统的“体验不满意”作为拒绝验收依据；</w:t>
      </w:r>
    </w:p>
    <w:p>
      <w:pPr>
        <w:pStyle w:val="ListBullet"/>
      </w:pPr>
      <w:r>
        <w:t>开发方修复范围内问题后提交回归结果；</w:t>
      </w:r>
    </w:p>
    <w:p>
      <w:pPr>
        <w:pStyle w:val="ListBullet"/>
      </w:pPr>
      <w:r>
        <w:t>试运行期用于发现真实业务场景问题，不自动扩展功能范围；</w:t>
      </w:r>
    </w:p>
    <w:p>
      <w:pPr>
        <w:pStyle w:val="ListBullet"/>
      </w:pPr>
      <w:r>
        <w:t>最终验收以确认的169项标准、约定的兼容性范围和双方签署的验收报告为准。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v4.0 | 2026年10月18日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