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劳务中介管理系统｜商务条款</w:t>
      </w:r>
    </w:p>
    <w:p>
      <w:r>
        <w:t>项目名称：劳务中介管理系统</w:t>
      </w:r>
    </w:p>
    <w:p>
      <w:r>
        <w:t>客户版文档版本：v4.0</w:t>
      </w:r>
    </w:p>
    <w:p>
      <w:r>
        <w:t>文档日期：2026年10月18日</w:t>
      </w:r>
    </w:p>
    <w:p>
      <w:r>
        <w:t>文档用途：用于商务评审，正式合同以双方签署文本为准</w:t>
      </w:r>
    </w:p>
    <w:p>
      <w:pPr>
        <w:pStyle w:val="IntenseQuote"/>
      </w:pPr>
      <w:r>
        <w:t>本套文档采用同一份范围、工时、价格、功能和验收口径。合同范围以双方最终签署的《功能清单确认书》为准。</w:t>
      </w:r>
    </w:p>
    <w:p>
      <w:r>
        <w:t>---</w:t>
      </w:r>
    </w:p>
    <w:p>
      <w:pPr>
        <w:pStyle w:val="Heading2"/>
      </w:pPr>
      <w:r>
        <w:t>1. 报价与有效期</w:t>
      </w:r>
    </w:p>
    <w:p>
      <w:pPr>
        <w:pStyle w:val="ListBullet"/>
      </w:pPr>
      <w:r>
        <w:t>本项目固定总价：**¥152万元**。</w:t>
      </w:r>
    </w:p>
    <w:p>
      <w:pPr>
        <w:pStyle w:val="ListBullet"/>
      </w:pPr>
      <w:r>
        <w:t>价格构成：工时估算基数¥112.8万元、风险准备金¥16.9万元、合理利润¥22.3万元。</w:t>
      </w:r>
    </w:p>
    <w:p>
      <w:pPr>
        <w:pStyle w:val="ListBullet"/>
      </w:pPr>
      <w:r>
        <w:t>本报价自2026年10月18日起30日内有效；超过有效期需重新确认价格、资源和计划。</w:t>
      </w:r>
    </w:p>
    <w:p>
      <w:pPr>
        <w:pStyle w:val="ListBullet"/>
      </w:pPr>
      <w:r>
        <w:t>税费、发票类型和税率以正式合同及双方开票主体资格为准，本售前稿不预设固定税率。</w:t>
      </w:r>
    </w:p>
    <w:p>
      <w:pPr>
        <w:pStyle w:val="Heading2"/>
      </w:pPr>
      <w:r>
        <w:t>2. 付款方式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节点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比例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金额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触发条件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18"/>
              </w:rPr>
              <w:t>付款时限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合同签订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456000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合同签署且首付款条件满足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签约后3个工作日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需求评审通过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152000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签署《功能清单确认书》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确认书签署后5个工作日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第一期交付验收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304000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第一期交付物验收通过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验收通过后5个工作日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第二期交付验收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20%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304000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第二期交付物验收通过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验收通过后5个工作日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上线试运行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15%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228000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生产环境部署完成并签署《上线确认书》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上线确认后5个工作日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项目最终验收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5%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76000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签署《项目验收报告》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18"/>
              </w:rPr>
              <w:t>验收报告签署后5个工作日</w:t>
            </w:r>
          </w:p>
        </w:tc>
      </w:tr>
    </w:tbl>
    <w:p/>
    <w:p>
      <w:r>
        <w:t>付款节点应与阶段交付和验收文件对应。客户无正当书面异议而逾期未组织验收的，双方先通过书面催告和会议纪要确定验收安排；是否视为验收通过，以正式合同约定为准。</w:t>
      </w:r>
    </w:p>
    <w:p>
      <w:pPr>
        <w:pStyle w:val="Heading2"/>
      </w:pPr>
      <w:r>
        <w:t>3. 范围与需求变更</w:t>
      </w:r>
    </w:p>
    <w:p>
      <w:pPr>
        <w:pStyle w:val="Heading3"/>
      </w:pPr>
      <w:r>
        <w:t>3.1 合同范围</w:t>
      </w:r>
    </w:p>
    <w:p>
      <w:r>
        <w:t>合同范围由报价方案总览、功能清单、功能清单详解、项目实施计划及正式合同附件共同构成。若文件之间存在冲突，以双方最终签署的《功能清单确认书》和正式合同为准。</w:t>
      </w:r>
    </w:p>
    <w:p>
      <w:pPr>
        <w:pStyle w:val="Heading3"/>
      </w:pPr>
      <w:r>
        <w:t>3.2 变更定义</w:t>
      </w:r>
    </w:p>
    <w:p>
      <w:r>
        <w:t>新增或改变模块、角色、端口、接口、数据迁移量、报表、业务规则、验收标准、兼容性范围或交付物，均应先走变更评估。</w:t>
      </w:r>
    </w:p>
    <w:p>
      <w:pPr>
        <w:pStyle w:val="Heading3"/>
      </w:pPr>
      <w:r>
        <w:t>3.3 变更流程</w:t>
      </w:r>
    </w:p>
    <w:p>
      <w:pPr>
        <w:pStyle w:val="ListNumber"/>
      </w:pPr>
      <w:r>
        <w:t>客户提出书面变更申请；</w:t>
      </w:r>
    </w:p>
    <w:p>
      <w:pPr>
        <w:pStyle w:val="ListNumber"/>
      </w:pPr>
      <w:r>
        <w:t>开发方评估工作量、影响、费用和计划；</w:t>
      </w:r>
    </w:p>
    <w:p>
      <w:pPr>
        <w:pStyle w:val="ListNumber"/>
      </w:pPr>
      <w:r>
        <w:t>双方确认变更单；</w:t>
      </w:r>
    </w:p>
    <w:p>
      <w:pPr>
        <w:pStyle w:val="ListNumber"/>
      </w:pPr>
      <w:r>
        <w:t>客户按约定支付变更款或满足启动条件；</w:t>
      </w:r>
    </w:p>
    <w:p>
      <w:pPr>
        <w:pStyle w:val="ListNumber"/>
      </w:pPr>
      <w:r>
        <w:t>开发方实施、测试并提交变更验收。</w:t>
      </w:r>
    </w:p>
    <w:p>
      <w:r>
        <w:t>变更不能仅以微信口头沟通或会议中未记录的意见作为已确认范围。</w:t>
      </w:r>
    </w:p>
    <w:p>
      <w:pPr>
        <w:pStyle w:val="Heading2"/>
      </w:pPr>
      <w:r>
        <w:t>4. 验收</w:t>
      </w:r>
    </w:p>
    <w:p>
      <w:pPr>
        <w:pStyle w:val="ListBullet"/>
      </w:pPr>
      <w:r>
        <w:t>每个阶段按功能清单确认书中对应验收项验收；</w:t>
      </w:r>
    </w:p>
    <w:p>
      <w:pPr>
        <w:pStyle w:val="ListBullet"/>
      </w:pPr>
      <w:r>
        <w:t>客户应在收到阶段交付物后5个工作日内组织验收或提交关联具体验收项的问题清单；</w:t>
      </w:r>
    </w:p>
    <w:p>
      <w:pPr>
        <w:pStyle w:val="ListBullet"/>
      </w:pPr>
      <w:r>
        <w:t>开发方对属于范围内的问题进行修复和回归；</w:t>
      </w:r>
    </w:p>
    <w:p>
      <w:pPr>
        <w:pStyle w:val="ListBullet"/>
      </w:pPr>
      <w:r>
        <w:t>试运行期为2周，试运行用于验证真实业务流程，不自动增加范围；</w:t>
      </w:r>
    </w:p>
    <w:p>
      <w:pPr>
        <w:pStyle w:val="ListBullet"/>
      </w:pPr>
      <w:r>
        <w:t>最终验收以169项验收标准、约定兼容性/性能范围和签署的验收报告为准。</w:t>
      </w:r>
    </w:p>
    <w:p>
      <w:pPr>
        <w:pStyle w:val="Heading2"/>
      </w:pPr>
      <w:r>
        <w:t>5. 维保与支持</w:t>
      </w:r>
    </w:p>
    <w:p>
      <w:pPr>
        <w:pStyle w:val="Heading3"/>
      </w:pPr>
      <w:r>
        <w:t>5.1 免费维保</w:t>
      </w:r>
    </w:p>
    <w:p>
      <w:r>
        <w:t>自项目最终验收通过之日起提供12个月功能性缺陷维保，包括范围内Bug修复、问题定位和工作日技术支持。</w:t>
      </w:r>
    </w:p>
    <w:p>
      <w:pPr>
        <w:pStyle w:val="Heading3"/>
      </w:pPr>
      <w:r>
        <w:t>5.2 不包含</w:t>
      </w:r>
    </w:p>
    <w:p>
      <w:r>
        <w:t>需求变更、新功能、第三方平台故障、客户自行修改、客户环境或数据错误、超出约定兼容性范围的适配、长期驻场和7×24小时服务不属于免费维保范围。</w:t>
      </w:r>
    </w:p>
    <w:p>
      <w:pPr>
        <w:pStyle w:val="Heading3"/>
      </w:pPr>
      <w:r>
        <w:t>5.3 响应口径</w:t>
      </w:r>
    </w:p>
    <w:p>
      <w:r>
        <w:t>双方在正式合同中确认问题级别、服务时间、响应时间和修复/绕行目标；本售前稿不对第三方故障或不可控平台审核作绝对修复承诺。</w:t>
      </w:r>
    </w:p>
    <w:p>
      <w:pPr>
        <w:pStyle w:val="Heading2"/>
      </w:pPr>
      <w:r>
        <w:t>6. 第三方依赖与费用</w:t>
      </w:r>
    </w:p>
    <w:p>
      <w:r>
        <w:t>云服务器、数据库、对象存储、短信、支付、保险、电子签、应用市场、地图、OCR和其他第三方服务的费用及主体资质要求，除非正式合同明确包含，否则由双方另行确认。第三方接口变更或不可用导致的工作，按变更或计划调整处理。</w:t>
      </w:r>
    </w:p>
    <w:p>
      <w:pPr>
        <w:pStyle w:val="Heading2"/>
      </w:pPr>
      <w:r>
        <w:t>7. 知识产权、数据与安全</w:t>
      </w:r>
    </w:p>
    <w:p>
      <w:pPr>
        <w:pStyle w:val="ListBullet"/>
      </w:pPr>
      <w:r>
        <w:t>系统、通用组件和开发工具的知识产权归属，以正式合同约定为准；</w:t>
      </w:r>
    </w:p>
    <w:p>
      <w:pPr>
        <w:pStyle w:val="ListBullet"/>
      </w:pPr>
      <w:r>
        <w:t>客户业务数据归客户所有，开发方按约定提供数据导出和迁移协助；</w:t>
      </w:r>
    </w:p>
    <w:p>
      <w:pPr>
        <w:pStyle w:val="ListBullet"/>
      </w:pPr>
      <w:r>
        <w:t>是否交付源代码、交付范围、授权方式和费用，须在正式合同中明确，当前售前稿不预设自动交付或绝对不交付；</w:t>
      </w:r>
    </w:p>
    <w:p>
      <w:pPr>
        <w:pStyle w:val="ListBullet"/>
      </w:pPr>
      <w:r>
        <w:t>双方应遵守适用的数据保护、保密和信息安全义务；身份证、银行卡等敏感信息应按确认的安全方案处理。</w:t>
      </w:r>
    </w:p>
    <w:p>
      <w:pPr>
        <w:pStyle w:val="Heading2"/>
      </w:pPr>
      <w:r>
        <w:t>8. 责任边界</w:t>
      </w:r>
    </w:p>
    <w:p>
      <w:pPr>
        <w:pStyle w:val="ListBullet"/>
      </w:pPr>
      <w:r>
        <w:t>开发方对约定范围内的交付质量和项目管理负责；</w:t>
      </w:r>
    </w:p>
    <w:p>
      <w:pPr>
        <w:pStyle w:val="ListBullet"/>
      </w:pPr>
      <w:r>
        <w:t>客户对业务规则、数据合法性、验收及时性和账号/资质材料负责；</w:t>
      </w:r>
    </w:p>
    <w:p>
      <w:pPr>
        <w:pStyle w:val="ListBullet"/>
      </w:pPr>
      <w:r>
        <w:t>第三方对其平台、接口、审核、支付和服务可用性负责；</w:t>
      </w:r>
    </w:p>
    <w:p>
      <w:pPr>
        <w:pStyle w:val="ListBullet"/>
      </w:pPr>
      <w:r>
        <w:t>业务量、报名量、利润、纠纷下降比例等经营结果不属于本项目的保证性验收指标。</w:t>
      </w:r>
    </w:p>
    <w:p>
      <w:pPr>
        <w:pStyle w:val="Heading2"/>
      </w:pPr>
      <w:r>
        <w:t>9. 正式合同待补信息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信息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当前状态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客户及开发方完整主体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待填写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收款账户和开票信息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待填写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项目启动日期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以首付款和启动条件满足日为准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仲裁或诉讼地点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待双方协商并写入正式合同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源代码和知识产权安排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待双方确认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第三方费用承担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待双方确认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数据迁移范围和上限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待双方确认</w:t>
            </w:r>
          </w:p>
        </w:tc>
      </w:tr>
    </w:tbl>
    <w:p/>
    <w:p>
      <w:pPr>
        <w:pStyle w:val="Heading2"/>
      </w:pPr>
      <w:r>
        <w:t>10. 签署确认</w:t>
      </w:r>
    </w:p>
    <w:p>
      <w:r>
        <w:t>本文件为商务评审稿。正式生效前，双方应将确认内容写入正式合同及其附件，并由授权代表签署盖章。</w:t>
      </w:r>
    </w:p>
    <w:p>
      <w:r>
        <w:t>开发方：________________  日期：____________</w:t>
      </w:r>
    </w:p>
    <w:p>
      <w:r>
        <w:t>客户方：________________  日期：____________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v4.0 | 2026年10月18日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