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sz w:val="34"/>
        </w:rPr>
        <w:t>Grasp-Conditioned Spill-Free Mug Transport</w:t>
      </w:r>
    </w:p>
    <w:p>
      <w:pPr>
        <w:spacing w:after="160" w:before="0"/>
        <w:jc w:val="center"/>
      </w:pPr>
      <w:r>
        <w:rPr>
          <w:b w:val="0"/>
          <w:i/>
          <w:sz w:val="21"/>
        </w:rPr>
        <w:t>Jihoon Yoon  ·  Motion Planning Term Project</w:t>
      </w:r>
    </w:p>
    <w:p>
      <w:pPr>
        <w:spacing w:after="160" w:before="0"/>
        <w:jc w:val="both"/>
      </w:pPr>
      <w:r>
        <w:rPr>
          <w:b w:val="0"/>
          <w:i/>
          <w:sz w:val="18"/>
        </w:rPr>
        <w:t>Abstract — Given a dexterous grasp of a mug, we generate a 6-DoF arm trajectory that transports it without spilling. We embed a differentiable spill cost—derived from the apparent-gravity (“waiter”) model—into CHOMP and evaluate it on each grasp (77 reachable grasps). At a hardware-feasible budget our planner is the only method that is both nearly spill-free (1.1% mean spill) and within joint limits (94% feasible), where baselines either spill (chomp-smooth 14%, min-jerk 70%) or violate joint limits (vanilla-grad / STOMP 0% feasible). The fastest feasible spill-free transport time is a property of the grasp—it ranges 0.7–1.6 s and is not predicted by grasp geometry (r = +0.12); 36% of grasps cannot reach the task at all—so spill-robustness must be measured by planning. We also characterize a degenerate high-acceleration mode of the spill cost and the spill–feasibility trade-off in the cost weight.</w:t>
      </w:r>
    </w:p>
    <w:p>
      <w:pPr>
        <w:sectPr>
          <w:pgSz w:w="12240" w:h="15840"/>
          <w:pgMar w:top="1008" w:right="1008" w:bottom="1008" w:left="1008" w:header="720" w:footer="720" w:gutter="0"/>
          <w:cols w:space="300" w:num="1"/>
          <w:docGrid w:linePitch="360"/>
        </w:sectPr>
      </w:pPr>
    </w:p>
    <w:p>
      <w:pPr>
        <w:spacing w:after="40" w:before="140"/>
        <w:jc w:val="both"/>
      </w:pPr>
      <w:r>
        <w:rPr>
          <w:b/>
          <w:i w:val="0"/>
          <w:sz w:val="22"/>
        </w:rPr>
        <w:t>1  Introduction</w:t>
      </w:r>
    </w:p>
    <w:p>
      <w:pPr>
        <w:spacing w:after="100" w:before="0"/>
        <w:jc w:val="both"/>
      </w:pPr>
      <w:r>
        <w:rPr>
          <w:b w:val="0"/>
          <w:i w:val="0"/>
          <w:sz w:val="19"/>
        </w:rPr>
        <w:t>Dexterous grasp synthesis has matured: modern affordance- and taxonomy-aware methods produce a suitable multi-finger hand pose for an object and task; my thesis is one such generator. A largely unanswered question is what happens after the grasp—whether the grasped object can be manipulated safely. We study the canonical instance: transporting a mug of liquid. Given a grasp, produce a 6-DoF arm trajectory that moves the mug from A to B without spilling.</w:t>
      </w:r>
    </w:p>
    <w:p>
      <w:pPr>
        <w:spacing w:after="100" w:before="0"/>
        <w:jc w:val="both"/>
      </w:pPr>
      <w:r>
        <w:rPr>
          <w:b w:val="0"/>
          <w:i w:val="0"/>
          <w:sz w:val="19"/>
        </w:rPr>
        <w:t>The governing physics is the waiter problem. A cup spills not only when geometrically tilted but whenever it accelerates, because in the cup’s quasi-static frame the liquid aligns with the effective gravity g − a rather than g; spilling occurs when this apparent-gravity vector leaves the cone subtended by the rim. The safe envelope depends on how the cup is held—on the grasp.</w:t>
      </w:r>
    </w:p>
    <w:p>
      <w:pPr>
        <w:spacing w:after="100" w:before="0"/>
        <w:jc w:val="both"/>
      </w:pPr>
      <w:r>
        <w:rPr>
          <w:b w:val="0"/>
          <w:i w:val="0"/>
          <w:sz w:val="19"/>
        </w:rPr>
        <w:t>Contributions: (i) a differentiable spill cost in CHOMP that produces hardware-feasible spill-free transport, with a characterized degenerate high-acceleration mode avoided by a moderate weight; (ii) a grasp-conditioned analysis showing the fastest feasible spill-free time is a grasp property not predictable from geometry; and (iii) a feasibility analysis of when each method violates joint limits.</w:t>
      </w:r>
    </w:p>
    <w:p>
      <w:pPr>
        <w:sectPr>
          <w:type w:val="continuous"/>
          <w:pgSz w:w="12240" w:h="15840"/>
          <w:pgMar w:top="1008" w:right="1008" w:bottom="1008" w:left="1008" w:header="720" w:footer="720" w:gutter="0"/>
          <w:cols w:space="300" w:num="2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20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grid23_sti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b w:val="0"/>
          <w:i/>
          <w:sz w:val="16"/>
        </w:rPr>
        <w:t>Figure 1. The same three transport tasks at the same time budget. Top: min-jerk spills; bottom: ours keeps the water in. Gold curves are mug-center paths.</w:t>
      </w:r>
    </w:p>
    <w:p>
      <w:pPr>
        <w:sectPr>
          <w:type w:val="continuous"/>
          <w:pgSz w:w="12240" w:h="15840"/>
          <w:pgMar w:top="1008" w:right="1008" w:bottom="1008" w:left="1008" w:header="720" w:footer="720" w:gutter="0"/>
          <w:cols w:space="300" w:num="1"/>
          <w:docGrid w:linePitch="360"/>
        </w:sectPr>
      </w:pPr>
    </w:p>
    <w:p>
      <w:pPr>
        <w:spacing w:after="40" w:before="140"/>
        <w:jc w:val="both"/>
      </w:pPr>
      <w:r>
        <w:rPr>
          <w:b/>
          <w:i w:val="0"/>
          <w:sz w:val="22"/>
        </w:rPr>
        <w:t>2  Related Work</w:t>
      </w:r>
    </w:p>
    <w:p>
      <w:pPr>
        <w:spacing w:after="20" w:before="60"/>
        <w:jc w:val="both"/>
      </w:pPr>
      <w:r>
        <w:rPr>
          <w:b/>
          <w:i w:val="0"/>
          <w:sz w:val="20"/>
        </w:rPr>
        <w:t>2.1  Waiter-problem / non-prehensile transport</w:t>
      </w:r>
    </w:p>
    <w:p>
      <w:pPr>
        <w:spacing w:after="100" w:before="0"/>
        <w:jc w:val="both"/>
      </w:pPr>
      <w:r>
        <w:rPr>
          <w:b w:val="0"/>
          <w:i w:val="0"/>
          <w:sz w:val="19"/>
        </w:rPr>
        <w:t>Work transporting an ungrasped object on the end-effector enforces no-tip/no-slip via the friction cone: Heins and Schoellig [1] balance an object with obstacle avoidance via constrained MPC; Selvaggio et al. [2] enforce non-sliding contact during fast transport. These fix the contact and reason about rigid tipping, not fluid slosh.</w:t>
      </w:r>
    </w:p>
    <w:p>
      <w:pPr>
        <w:spacing w:after="20" w:before="60"/>
        <w:jc w:val="both"/>
      </w:pPr>
      <w:r>
        <w:rPr>
          <w:b/>
          <w:i w:val="0"/>
          <w:sz w:val="20"/>
        </w:rPr>
        <w:t>2.2  Slosh-free liquid transport</w:t>
      </w:r>
    </w:p>
    <w:p>
      <w:pPr>
        <w:spacing w:after="100" w:before="0"/>
        <w:jc w:val="both"/>
      </w:pPr>
      <w:r>
        <w:rPr>
          <w:b w:val="0"/>
          <w:i w:val="0"/>
          <w:sz w:val="19"/>
        </w:rPr>
        <w:t>Muchacho et al. [3] model the end-effector as a spherical pendulum and compute slosh-free trajectories via a QP—the reduced-order slosh model we build on, for a fixed container pose. Moriello et al. [4] use input shaping; Di Lillo et al. [6] keep the surface within container limits; Gandhi et al. [5] learn liquid dynamics through clutter. All are grasp-agnostic.</w:t>
      </w:r>
    </w:p>
    <w:p>
      <w:pPr>
        <w:spacing w:after="20" w:before="60"/>
        <w:jc w:val="both"/>
      </w:pPr>
      <w:r>
        <w:rPr>
          <w:b/>
          <w:i w:val="0"/>
          <w:sz w:val="20"/>
        </w:rPr>
        <w:t>2.3  Trajectory optimization with task costs</w:t>
      </w:r>
    </w:p>
    <w:p>
      <w:pPr>
        <w:spacing w:after="100" w:before="0"/>
        <w:jc w:val="both"/>
      </w:pPr>
      <w:r>
        <w:rPr>
          <w:b w:val="0"/>
          <w:i w:val="0"/>
          <w:sz w:val="19"/>
        </w:rPr>
        <w:t>Our optimizer is CHOMP [7]; the spill cost is an added differentiable term. STOMP [8] is the sampling counterpart and TrajOpt [9] the sequential-convex one; as slosh is acceleration-dependent, space-time CHOMP [10] is relevant. We compare optimizers and ablate the covariant metric.</w:t>
      </w:r>
    </w:p>
    <w:p>
      <w:pPr>
        <w:spacing w:after="20" w:before="60"/>
        <w:jc w:val="both"/>
      </w:pPr>
      <w:r>
        <w:rPr>
          <w:b/>
          <w:i w:val="0"/>
          <w:sz w:val="20"/>
        </w:rPr>
        <w:t>2.4  Tilt-constrained planning and task-oriented grasping</w:t>
      </w:r>
    </w:p>
    <w:p>
      <w:pPr>
        <w:spacing w:after="100" w:before="0"/>
        <w:jc w:val="both"/>
      </w:pPr>
      <w:r>
        <w:rPr>
          <w:b w:val="0"/>
          <w:i w:val="0"/>
          <w:sz w:val="19"/>
        </w:rPr>
        <w:t>Orientation-constrained planners impose a static bounded tilt—Task Space Regions [11], task-constrained RRT [12] (carry a glass level)—whereas ours is a dynamic spill margin. Task-oriented and semantic grasping select grasps for a task [13,14], gate kinematic feasibility [16], or co-optimize grasp and motion [15], but never via a physical spill margin.</w:t>
      </w:r>
    </w:p>
    <w:p>
      <w:pPr>
        <w:spacing w:after="20" w:before="60"/>
        <w:jc w:val="both"/>
      </w:pPr>
      <w:r>
        <w:rPr>
          <w:b/>
          <w:i w:val="0"/>
          <w:sz w:val="20"/>
        </w:rPr>
        <w:t>2.5  Gap</w:t>
      </w:r>
    </w:p>
    <w:p>
      <w:pPr>
        <w:spacing w:after="100" w:before="0"/>
        <w:jc w:val="both"/>
      </w:pPr>
      <w:r>
        <w:rPr>
          <w:b w:val="0"/>
          <w:i w:val="0"/>
          <w:sz w:val="19"/>
        </w:rPr>
        <w:t>Spill-free transport [3–6] and waiter balancing [1,2] fix the grasp and optimize the trajectory; task-oriented grasping [13–16] stops at grasp selection with a kinematic metric. No work closes the loop grasp → spill margin → trajectory. We take a first step and quantify how the grasp sets the feasible spill margin.</w:t>
      </w:r>
    </w:p>
    <w:p>
      <w:pPr>
        <w:spacing w:after="40" w:before="140"/>
        <w:jc w:val="both"/>
      </w:pPr>
      <w:r>
        <w:rPr>
          <w:b/>
          <w:i w:val="0"/>
          <w:sz w:val="22"/>
        </w:rPr>
        <w:t>3  Method</w:t>
      </w:r>
    </w:p>
    <w:p>
      <w:pPr>
        <w:spacing w:after="20" w:before="60"/>
        <w:jc w:val="both"/>
      </w:pPr>
      <w:r>
        <w:rPr>
          <w:b/>
          <w:i w:val="0"/>
          <w:sz w:val="20"/>
        </w:rPr>
        <w:t>3.1  Problem formulation</w:t>
      </w:r>
    </w:p>
    <w:p>
      <w:pPr>
        <w:spacing w:after="100" w:before="0"/>
        <w:jc w:val="both"/>
      </w:pPr>
      <w:r>
        <w:rPr>
          <w:b w:val="0"/>
          <w:i w:val="0"/>
          <w:sz w:val="19"/>
        </w:rPr>
        <w:t>Let q(t) denote the 6-DoF UR5e configuration; the hand joints are frozen, so the grasp fixes the rigid transform T</w:t>
      </w:r>
      <w:r>
        <w:rPr>
          <w:b w:val="0"/>
          <w:i w:val="0"/>
          <w:sz w:val="19"/>
          <w:vertAlign w:val="subscript"/>
        </w:rPr>
        <w:t>em</w:t>
      </w:r>
      <w:r>
        <w:rPr>
          <w:b w:val="0"/>
          <w:i w:val="0"/>
          <w:sz w:val="19"/>
        </w:rPr>
        <w:t xml:space="preserve"> and the mug world pose is FK(q)·T</w:t>
      </w:r>
      <w:r>
        <w:rPr>
          <w:b w:val="0"/>
          <w:i w:val="0"/>
          <w:sz w:val="19"/>
          <w:vertAlign w:val="subscript"/>
        </w:rPr>
        <w:t>em</w:t>
      </w:r>
      <w:r>
        <w:rPr>
          <w:b w:val="0"/>
          <w:i w:val="0"/>
          <w:sz w:val="19"/>
        </w:rPr>
        <w:t>. With upright start/goal we seek a waypoint trajectory ξ = (q</w:t>
      </w:r>
      <w:r>
        <w:rPr>
          <w:b w:val="0"/>
          <w:i w:val="0"/>
          <w:sz w:val="19"/>
          <w:vertAlign w:val="subscript"/>
        </w:rPr>
        <w:t>0</w:t>
      </w:r>
      <w:r>
        <w:rPr>
          <w:b w:val="0"/>
          <w:i w:val="0"/>
          <w:sz w:val="19"/>
        </w:rPr>
        <w:t>, …, q</w:t>
      </w:r>
      <w:r>
        <w:rPr>
          <w:b w:val="0"/>
          <w:i w:val="0"/>
          <w:sz w:val="19"/>
          <w:vertAlign w:val="subscript"/>
        </w:rPr>
        <w:t>N−1</w:t>
      </w:r>
      <w:r>
        <w:rPr>
          <w:b w:val="0"/>
          <w:i w:val="0"/>
          <w:sz w:val="19"/>
        </w:rPr>
        <w:t>) with fixed endpoints that keeps the apparent-gravity vector inside the rim cone, is smooth, collision-free, and within joint limits.</w:t>
      </w:r>
    </w:p>
    <w:p>
      <w:pPr>
        <w:spacing w:after="20" w:before="60"/>
        <w:jc w:val="both"/>
      </w:pPr>
      <w:r>
        <w:rPr>
          <w:b/>
          <w:i w:val="0"/>
          <w:sz w:val="20"/>
        </w:rPr>
        <w:t>3.2  Differentiable kinematics</w:t>
      </w:r>
    </w:p>
    <w:p>
      <w:pPr>
        <w:spacing w:after="100" w:before="0"/>
        <w:jc w:val="both"/>
      </w:pPr>
      <w:r>
        <w:rPr>
          <w:b w:val="0"/>
          <w:i w:val="0"/>
          <w:sz w:val="19"/>
        </w:rPr>
        <w:t>A differentiable FK chain walker (autograd through SE(3)) matches SAPIEN to 1e-7. IK minimizes ‖p − p*‖</w:t>
      </w:r>
      <w:r>
        <w:rPr>
          <w:b w:val="0"/>
          <w:i w:val="0"/>
          <w:sz w:val="19"/>
          <w:vertAlign w:val="superscript"/>
        </w:rPr>
        <w:t>2</w:t>
      </w:r>
      <w:r>
        <w:rPr>
          <w:b w:val="0"/>
          <w:i w:val="0"/>
          <w:sz w:val="19"/>
        </w:rPr>
        <w:t xml:space="preserve"> + λ(3 − tr(R R*</w:t>
      </w:r>
      <w:r>
        <w:rPr>
          <w:b w:val="0"/>
          <w:i w:val="0"/>
          <w:sz w:val="19"/>
          <w:vertAlign w:val="superscript"/>
        </w:rPr>
        <w:t>T</w:t>
      </w:r>
      <w:r>
        <w:rPr>
          <w:b w:val="0"/>
          <w:i w:val="0"/>
          <w:sz w:val="19"/>
        </w:rPr>
        <w:t>)) by Adam from multiple seeds; an IK failure then indicates genuine unreachability.</w:t>
      </w:r>
    </w:p>
    <w:p>
      <w:pPr>
        <w:spacing w:after="20" w:before="60"/>
        <w:jc w:val="both"/>
      </w:pPr>
      <w:r>
        <w:rPr>
          <w:b/>
          <w:i w:val="0"/>
          <w:sz w:val="20"/>
        </w:rPr>
        <w:t>3.3  Spill model (apparent-gravity cone)</w:t>
      </w:r>
    </w:p>
    <w:p>
      <w:pPr>
        <w:spacing w:after="100" w:before="0"/>
        <w:jc w:val="both"/>
      </w:pPr>
      <w:r>
        <w:rPr>
          <w:b w:val="0"/>
          <w:i w:val="0"/>
          <w:sz w:val="19"/>
        </w:rPr>
        <w:t>Under the quasi-static assumption the liquid surface is normal to the effective gravity g</w:t>
      </w:r>
      <w:r>
        <w:rPr>
          <w:b w:val="0"/>
          <w:i w:val="0"/>
          <w:sz w:val="19"/>
          <w:vertAlign w:val="subscript"/>
        </w:rPr>
        <w:t>eff</w:t>
      </w:r>
      <w:r>
        <w:rPr>
          <w:b w:val="0"/>
          <w:i w:val="0"/>
          <w:sz w:val="19"/>
        </w:rPr>
        <w:t xml:space="preserve"> = g − a (a = mug-center acceleration); with n the opening axis the cup does not spill iff</w:t>
      </w:r>
    </w:p>
    <w:p>
      <w:pPr>
        <w:spacing w:after="80" w:before="20"/>
        <w:jc w:val="center"/>
      </w:pPr>
      <w:r>
        <w:rPr>
          <w:b w:val="0"/>
          <w:i/>
          <w:sz w:val="20"/>
        </w:rPr>
        <w:t>align(t) = − ĝ</w:t>
      </w:r>
      <w:r>
        <w:rPr>
          <w:b w:val="0"/>
          <w:i/>
          <w:sz w:val="20"/>
          <w:vertAlign w:val="subscript"/>
        </w:rPr>
        <w:t>eff</w:t>
      </w:r>
      <w:r>
        <w:rPr>
          <w:b w:val="0"/>
          <w:i/>
          <w:sz w:val="20"/>
        </w:rPr>
        <w:t>(t) · n(t)  ≥  cos θ</w:t>
      </w:r>
      <w:r>
        <w:rPr>
          <w:b w:val="0"/>
          <w:i/>
          <w:sz w:val="20"/>
          <w:vertAlign w:val="subscript"/>
        </w:rPr>
        <w:t>max</w:t>
      </w:r>
      <w:r>
        <w:rPr>
          <w:b w:val="0"/>
          <w:i/>
          <w:sz w:val="20"/>
        </w:rPr>
        <w:t xml:space="preserve"> ,</w:t>
      </w:r>
    </w:p>
    <w:p>
      <w:pPr>
        <w:spacing w:after="100" w:before="0"/>
        <w:jc w:val="both"/>
      </w:pPr>
      <w:r>
        <w:rPr>
          <w:b w:val="0"/>
          <w:i w:val="0"/>
          <w:sz w:val="19"/>
        </w:rPr>
        <w:t>where θ</w:t>
      </w:r>
      <w:r>
        <w:rPr>
          <w:b w:val="0"/>
          <w:i w:val="0"/>
          <w:sz w:val="19"/>
          <w:vertAlign w:val="subscript"/>
        </w:rPr>
        <w:t>max</w:t>
      </w:r>
      <w:r>
        <w:rPr>
          <w:b w:val="0"/>
          <w:i w:val="0"/>
          <w:sz w:val="19"/>
        </w:rPr>
        <w:t xml:space="preserve"> is set by the fill level (≈ atan((rim − liquid)/radius); 18° ≈ half-full). The penalty is c</w:t>
      </w:r>
      <w:r>
        <w:rPr>
          <w:b w:val="0"/>
          <w:i w:val="0"/>
          <w:sz w:val="19"/>
          <w:vertAlign w:val="subscript"/>
        </w:rPr>
        <w:t>spill</w:t>
      </w:r>
      <w:r>
        <w:rPr>
          <w:b w:val="0"/>
          <w:i w:val="0"/>
          <w:sz w:val="19"/>
        </w:rPr>
        <w:t xml:space="preserve"> = max(0, cos θ</w:t>
      </w:r>
      <w:r>
        <w:rPr>
          <w:b w:val="0"/>
          <w:i w:val="0"/>
          <w:sz w:val="19"/>
          <w:vertAlign w:val="subscript"/>
        </w:rPr>
        <w:t>max</w:t>
      </w:r>
      <w:r>
        <w:rPr>
          <w:b w:val="0"/>
          <w:i w:val="0"/>
          <w:sz w:val="19"/>
        </w:rPr>
        <w:t xml:space="preserve"> − align)</w:t>
      </w:r>
      <w:r>
        <w:rPr>
          <w:b w:val="0"/>
          <w:i w:val="0"/>
          <w:sz w:val="19"/>
          <w:vertAlign w:val="superscript"/>
        </w:rPr>
        <w:t>2</w:t>
      </w:r>
      <w:r>
        <w:rPr>
          <w:b w:val="0"/>
          <w:i w:val="0"/>
          <w:sz w:val="19"/>
        </w:rPr>
        <w:t>. The acceleration is the second finite difference of p</w:t>
      </w:r>
      <w:r>
        <w:rPr>
          <w:b w:val="0"/>
          <w:i w:val="0"/>
          <w:sz w:val="19"/>
          <w:vertAlign w:val="subscript"/>
        </w:rPr>
        <w:t>mug</w:t>
      </w:r>
      <w:r>
        <w:rPr>
          <w:b w:val="0"/>
          <w:i w:val="0"/>
          <w:sz w:val="19"/>
        </w:rPr>
        <w:t xml:space="preserve"> = FK(q)·T</w:t>
      </w:r>
      <w:r>
        <w:rPr>
          <w:b w:val="0"/>
          <w:i w:val="0"/>
          <w:sz w:val="19"/>
          <w:vertAlign w:val="subscript"/>
        </w:rPr>
        <w:t>em</w:t>
      </w:r>
      <w:r>
        <w:rPr>
          <w:b w:val="0"/>
          <w:i w:val="0"/>
          <w:sz w:val="19"/>
        </w:rPr>
        <w:t>, so the per-grasp lever arm (α×r, ω×(ω×r)) is captured exactly: identical arm motions with different T</w:t>
      </w:r>
      <w:r>
        <w:rPr>
          <w:b w:val="0"/>
          <w:i w:val="0"/>
          <w:sz w:val="19"/>
          <w:vertAlign w:val="subscript"/>
        </w:rPr>
        <w:t>em</w:t>
      </w:r>
      <w:r>
        <w:rPr>
          <w:b w:val="0"/>
          <w:i w:val="0"/>
          <w:sz w:val="19"/>
        </w:rPr>
        <w:t xml:space="preserve"> give different mug accelerations.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1450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450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b w:val="0"/>
          <w:i/>
          <w:sz w:val="16"/>
        </w:rPr>
        <w:t>Figure 2. Spill condition. Left: −g_eff inside the rim cone (safe). Right: acceleration tilts −g_eff out of the cone (spill).</w:t>
      </w:r>
    </w:p>
    <w:p>
      <w:pPr>
        <w:spacing w:after="20" w:before="60"/>
        <w:jc w:val="both"/>
      </w:pPr>
      <w:r>
        <w:rPr>
          <w:b/>
          <w:i w:val="0"/>
          <w:sz w:val="20"/>
        </w:rPr>
        <w:t>3.4  Cost functional and covariant update</w:t>
      </w:r>
    </w:p>
    <w:p>
      <w:pPr>
        <w:spacing w:after="100" w:before="0"/>
        <w:jc w:val="both"/>
      </w:pPr>
      <w:r>
        <w:rPr>
          <w:b w:val="0"/>
          <w:i w:val="0"/>
          <w:sz w:val="19"/>
        </w:rPr>
        <w:t>J = α J</w:t>
      </w:r>
      <w:r>
        <w:rPr>
          <w:b w:val="0"/>
          <w:i w:val="0"/>
          <w:sz w:val="19"/>
          <w:vertAlign w:val="subscript"/>
        </w:rPr>
        <w:t>smooth</w:t>
      </w:r>
      <w:r>
        <w:rPr>
          <w:b w:val="0"/>
          <w:i w:val="0"/>
          <w:sz w:val="19"/>
        </w:rPr>
        <w:t xml:space="preserve"> + β J</w:t>
      </w:r>
      <w:r>
        <w:rPr>
          <w:b w:val="0"/>
          <w:i w:val="0"/>
          <w:sz w:val="19"/>
          <w:vertAlign w:val="subscript"/>
        </w:rPr>
        <w:t>obs</w:t>
      </w:r>
      <w:r>
        <w:rPr>
          <w:b w:val="0"/>
          <w:i w:val="0"/>
          <w:sz w:val="19"/>
        </w:rPr>
        <w:t xml:space="preserve"> + γ J</w:t>
      </w:r>
      <w:r>
        <w:rPr>
          <w:b w:val="0"/>
          <w:i w:val="0"/>
          <w:sz w:val="19"/>
          <w:vertAlign w:val="subscript"/>
        </w:rPr>
        <w:t>spill</w:t>
      </w:r>
      <w:r>
        <w:rPr>
          <w:b w:val="0"/>
          <w:i w:val="0"/>
          <w:sz w:val="19"/>
        </w:rPr>
        <w:t>, with J</w:t>
      </w:r>
      <w:r>
        <w:rPr>
          <w:b w:val="0"/>
          <w:i w:val="0"/>
          <w:sz w:val="19"/>
          <w:vertAlign w:val="subscript"/>
        </w:rPr>
        <w:t>smooth</w:t>
      </w:r>
      <w:r>
        <w:rPr>
          <w:b w:val="0"/>
          <w:i w:val="0"/>
          <w:sz w:val="19"/>
        </w:rPr>
        <w:t xml:space="preserve"> = ‖Aξ‖</w:t>
      </w:r>
      <w:r>
        <w:rPr>
          <w:b w:val="0"/>
          <w:i w:val="0"/>
          <w:sz w:val="19"/>
          <w:vertAlign w:val="superscript"/>
        </w:rPr>
        <w:t>2</w:t>
      </w:r>
      <w:r>
        <w:rPr>
          <w:b w:val="0"/>
          <w:i w:val="0"/>
          <w:sz w:val="19"/>
        </w:rPr>
        <w:t xml:space="preserve"> (A the second-difference operator) inducing the CHOMP metric M = A</w:t>
      </w:r>
      <w:r>
        <w:rPr>
          <w:b w:val="0"/>
          <w:i w:val="0"/>
          <w:sz w:val="19"/>
          <w:vertAlign w:val="superscript"/>
        </w:rPr>
        <w:t>T</w:t>
      </w:r>
      <w:r>
        <w:rPr>
          <w:b w:val="0"/>
          <w:i w:val="0"/>
          <w:sz w:val="19"/>
        </w:rPr>
        <w:t>A. CHOMP descends the covariant gradient</w:t>
      </w:r>
    </w:p>
    <w:p>
      <w:pPr>
        <w:spacing w:after="80" w:before="20"/>
        <w:jc w:val="center"/>
      </w:pPr>
      <w:r>
        <w:rPr>
          <w:b w:val="0"/>
          <w:i/>
          <w:sz w:val="20"/>
        </w:rPr>
        <w:t>ξ  ←  ξ  −  η · M</w:t>
      </w:r>
      <w:r>
        <w:rPr>
          <w:b w:val="0"/>
          <w:i/>
          <w:sz w:val="20"/>
          <w:vertAlign w:val="superscript"/>
        </w:rPr>
        <w:t>−1</w:t>
      </w:r>
      <w:r>
        <w:rPr>
          <w:b w:val="0"/>
          <w:i/>
          <w:sz w:val="20"/>
        </w:rPr>
        <w:t xml:space="preserve"> · ∇J(ξ) ,</w:t>
      </w:r>
    </w:p>
    <w:p>
      <w:pPr>
        <w:spacing w:after="100" w:before="0"/>
        <w:jc w:val="both"/>
      </w:pPr>
      <w:r>
        <w:rPr>
          <w:b w:val="0"/>
          <w:i w:val="0"/>
          <w:sz w:val="19"/>
        </w:rPr>
        <w:t>fed to Adam with gradient clipping. The spill cost constrains only the direction of g_eff, so a large γ admits a degenerate solution that injects a huge upward acceleration to align g_eff at the cost of joint-limit-violating motion; a moderate γ (1.0), where smoothness bounds acceleration, avoids it (§4.2).</w:t>
      </w:r>
    </w:p>
    <w:p>
      <w:pPr>
        <w:spacing w:after="20" w:before="60"/>
        <w:jc w:val="both"/>
      </w:pPr>
      <w:r>
        <w:rPr>
          <w:b/>
          <w:i w:val="0"/>
          <w:sz w:val="20"/>
        </w:rPr>
        <w:t>3.5  Per-grasp spill-aware planning</w:t>
      </w:r>
    </w:p>
    <w:p>
      <w:pPr>
        <w:spacing w:after="0" w:before="0"/>
      </w:pPr>
      <w:r>
        <w:rPr>
          <w:rFonts w:ascii="Consolas" w:hAnsi="Consolas"/>
          <w:sz w:val="14"/>
        </w:rPr>
        <w:t>Algorithm 1  Per-grasp spill-aware transport</w:t>
      </w:r>
    </w:p>
    <w:p>
      <w:pPr>
        <w:spacing w:after="0" w:before="0"/>
      </w:pPr>
      <w:r>
        <w:rPr>
          <w:rFonts w:ascii="Consolas" w:hAnsi="Consolas"/>
          <w:sz w:val="14"/>
        </w:rPr>
        <w:t>Input: grasp G (T_em), start/goal, budget T,</w:t>
      </w:r>
    </w:p>
    <w:p>
      <w:pPr>
        <w:spacing w:after="0" w:before="0"/>
      </w:pPr>
      <w:r>
        <w:rPr>
          <w:rFonts w:ascii="Consolas" w:hAnsi="Consolas"/>
          <w:sz w:val="14"/>
        </w:rPr>
        <w:t xml:space="preserve">       theta_max, weight gamma</w:t>
      </w:r>
    </w:p>
    <w:p>
      <w:pPr>
        <w:spacing w:after="0" w:before="0"/>
      </w:pPr>
      <w:r>
        <w:rPr>
          <w:rFonts w:ascii="Consolas" w:hAnsi="Consolas"/>
          <w:sz w:val="14"/>
        </w:rPr>
        <w:t xml:space="preserve"> 1: q_s &lt;- IK(T_start . T_em^-1)  (multi-seed)</w:t>
      </w:r>
    </w:p>
    <w:p>
      <w:pPr>
        <w:spacing w:after="0" w:before="0"/>
      </w:pPr>
      <w:r>
        <w:rPr>
          <w:rFonts w:ascii="Consolas" w:hAnsi="Consolas"/>
          <w:sz w:val="14"/>
        </w:rPr>
        <w:t xml:space="preserve"> 2: q_g &lt;- IK(T_goal  . T_em^-1)</w:t>
      </w:r>
    </w:p>
    <w:p>
      <w:pPr>
        <w:spacing w:after="0" w:before="0"/>
      </w:pPr>
      <w:r>
        <w:rPr>
          <w:rFonts w:ascii="Consolas" w:hAnsi="Consolas"/>
          <w:sz w:val="14"/>
        </w:rPr>
        <w:t xml:space="preserve"> 3: if IK error &gt; tol: return UNREACHABLE</w:t>
      </w:r>
    </w:p>
    <w:p>
      <w:pPr>
        <w:spacing w:after="0" w:before="0"/>
      </w:pPr>
      <w:r>
        <w:rPr>
          <w:rFonts w:ascii="Consolas" w:hAnsi="Consolas"/>
          <w:sz w:val="14"/>
        </w:rPr>
        <w:t xml:space="preserve"> 4: xi &lt;- minjerk(q_s, q_g, N)</w:t>
      </w:r>
    </w:p>
    <w:p>
      <w:pPr>
        <w:spacing w:after="0" w:before="0"/>
      </w:pPr>
      <w:r>
        <w:rPr>
          <w:rFonts w:ascii="Consolas" w:hAnsi="Consolas"/>
          <w:sz w:val="14"/>
        </w:rPr>
        <w:t xml:space="preserve"> 5: for k = 1..K do</w:t>
      </w:r>
    </w:p>
    <w:p>
      <w:pPr>
        <w:spacing w:after="0" w:before="0"/>
      </w:pPr>
      <w:r>
        <w:rPr>
          <w:rFonts w:ascii="Consolas" w:hAnsi="Consolas"/>
          <w:sz w:val="14"/>
        </w:rPr>
        <w:t xml:space="preserve"> 6:   p &lt;- FK(xi).T_em;  a &lt;- d2 p / dt2</w:t>
      </w:r>
    </w:p>
    <w:p>
      <w:pPr>
        <w:spacing w:after="0" w:before="0"/>
      </w:pPr>
      <w:r>
        <w:rPr>
          <w:rFonts w:ascii="Consolas" w:hAnsi="Consolas"/>
          <w:sz w:val="14"/>
        </w:rPr>
        <w:t xml:space="preserve"> 7:   J &lt;- a Jsm + b Jobs + g Jspill(a,n)</w:t>
      </w:r>
    </w:p>
    <w:p>
      <w:pPr>
        <w:spacing w:after="0" w:before="0"/>
      </w:pPr>
      <w:r>
        <w:rPr>
          <w:rFonts w:ascii="Consolas" w:hAnsi="Consolas"/>
          <w:sz w:val="14"/>
        </w:rPr>
        <w:t xml:space="preserve"> 8:   grad &lt;- M^-1 dJ/dxi; clip; xi&lt;-Adam(xi,grad)</w:t>
      </w:r>
    </w:p>
    <w:p>
      <w:pPr>
        <w:spacing w:after="0" w:before="0"/>
      </w:pPr>
      <w:r>
        <w:rPr>
          <w:rFonts w:ascii="Consolas" w:hAnsi="Consolas"/>
          <w:sz w:val="14"/>
        </w:rPr>
        <w:t xml:space="preserve"> 9: return xi, spill_ratio(xi; theta_max)</w:t>
      </w:r>
    </w:p>
    <w:p>
      <w:pPr>
        <w:spacing w:after="60"/>
      </w:pPr>
    </w:p>
    <w:p>
      <w:pPr>
        <w:spacing w:after="40" w:before="140"/>
        <w:jc w:val="both"/>
      </w:pPr>
      <w:r>
        <w:rPr>
          <w:b/>
          <w:i w:val="0"/>
          <w:sz w:val="22"/>
        </w:rPr>
        <w:t>4  Experiments</w:t>
      </w:r>
    </w:p>
    <w:p>
      <w:pPr>
        <w:spacing w:after="100" w:before="0"/>
        <w:jc w:val="both"/>
      </w:pPr>
      <w:r>
        <w:rPr>
          <w:b w:val="0"/>
          <w:i w:val="0"/>
          <w:sz w:val="19"/>
        </w:rPr>
        <w:t>Setup. A mug with 120 sampled grasps (2-finger / 3-finger / whole-hand). Default task: 70 cm lateral + 15 cm lift, upright endpoints. Metric: spill ratio = fraction of waypoints whose effective tilt exceeds θ</w:t>
      </w:r>
      <w:r>
        <w:rPr>
          <w:b w:val="0"/>
          <w:i w:val="0"/>
          <w:sz w:val="19"/>
          <w:vertAlign w:val="subscript"/>
        </w:rPr>
        <w:t>max</w:t>
      </w:r>
      <w:r>
        <w:rPr>
          <w:b w:val="0"/>
          <w:i w:val="0"/>
          <w:sz w:val="19"/>
        </w:rPr>
        <w:t>. Feasible = max joint velocity &lt; 3.3 rad/s and acceleration &lt; 20 rad/s</w:t>
      </w:r>
      <w:r>
        <w:rPr>
          <w:b w:val="0"/>
          <w:i w:val="0"/>
          <w:sz w:val="19"/>
          <w:vertAlign w:val="superscript"/>
        </w:rPr>
        <w:t>2</w:t>
      </w:r>
      <w:r>
        <w:rPr>
          <w:b w:val="0"/>
          <w:i w:val="0"/>
          <w:sz w:val="19"/>
        </w:rPr>
        <w:t>.</w:t>
      </w:r>
    </w:p>
    <w:p>
      <w:pPr>
        <w:spacing w:after="20" w:before="60"/>
        <w:jc w:val="both"/>
      </w:pPr>
      <w:r>
        <w:rPr>
          <w:b/>
          <w:i w:val="0"/>
          <w:sz w:val="20"/>
        </w:rPr>
        <w:t>4.1  Method comparison and feasibility</w:t>
      </w:r>
    </w:p>
    <w:p>
      <w:pPr>
        <w:spacing w:after="100" w:before="0"/>
        <w:jc w:val="both"/>
      </w:pPr>
      <w:r>
        <w:rPr>
          <w:b w:val="0"/>
          <w:i w:val="0"/>
          <w:sz w:val="19"/>
        </w:rPr>
        <w:t>Five methods, each changing one ingredient, on 77 reachable grasps at a hardware-feasible budget T = 1.0 s (γ = 1.0 for spill-aware methods).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mean spill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feasible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min-jerk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69.9%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61%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chomp-smooth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14.1%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stomp-spill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50.2%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vanilla-grad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73.8%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0%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ours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1.1%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94%</w:t>
            </w:r>
          </w:p>
        </w:tc>
      </w:tr>
    </w:tbl>
    <w:p>
      <w:pPr>
        <w:spacing w:after="60"/>
      </w:pPr>
    </w:p>
    <w:p>
      <w:pPr>
        <w:spacing w:after="100" w:before="0"/>
        <w:jc w:val="both"/>
      </w:pPr>
      <w:r>
        <w:rPr>
          <w:b w:val="0"/>
          <w:i w:val="0"/>
          <w:sz w:val="19"/>
        </w:rPr>
        <w:t>Ours is the only method that is both nearly spill-free (1.1%) and feasible (94%). Smoothness alone (chomp-smooth) is feasible but spills (14%). Without the CHOMP metric the gradient and sampling baselines (vanilla-grad, STOMP) are near-0% feasible—they reduce spill only by injecting joint-limit-violating accelerations (Fig. 4)—and still spill heavily. The metric is thus essential for both spill and feasibility, and at far lower compute than sampling (ours plans in 3 s vs 13 s for STOMP).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1714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thod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714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b w:val="0"/>
          <w:i/>
          <w:sz w:val="16"/>
        </w:rPr>
        <w:t>Figure 3. Spill distribution over 77 grasps at the feasible budget T = 1.0 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16462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easi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646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b w:val="0"/>
          <w:i/>
          <w:sz w:val="16"/>
        </w:rPr>
        <w:t>Figure 4. Max joint acceleration per method (log). vanilla-grad and STOMP exceed the limit; ours and chomp-smooth stay within it.</w:t>
      </w:r>
    </w:p>
    <w:p>
      <w:pPr>
        <w:spacing w:after="20" w:before="60"/>
        <w:jc w:val="both"/>
      </w:pPr>
      <w:r>
        <w:rPr>
          <w:b/>
          <w:i w:val="0"/>
          <w:sz w:val="20"/>
        </w:rPr>
        <w:t>4.2  Spill–feasibility trade-off and fill level</w:t>
      </w:r>
    </w:p>
    <w:p>
      <w:pPr>
        <w:spacing w:after="100" w:before="0"/>
        <w:jc w:val="both"/>
      </w:pPr>
      <w:r>
        <w:rPr>
          <w:b w:val="0"/>
          <w:i w:val="0"/>
          <w:sz w:val="19"/>
        </w:rPr>
        <w:t>Sweeping the spill weight γ exposes the trade-off (Fig. 5): small γ leaves residual spill, while large γ triggers the degenerate high-acceleration mode and feasibility collapses. γ ≈ 1 is the knee—low spill while staying feasible.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18982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amma_pare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898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b w:val="0"/>
          <w:i/>
          <w:sz w:val="16"/>
        </w:rPr>
        <w:t>Figure 5. Spill (red) and feasibility (green) vs the spill weight γ at T = 1.0 s. γ≈1 is the knee of the trade-off.</w:t>
      </w:r>
    </w:p>
    <w:p>
      <w:pPr>
        <w:spacing w:after="100" w:before="0"/>
        <w:jc w:val="both"/>
      </w:pPr>
      <w:r>
        <w:rPr>
          <w:b w:val="0"/>
          <w:i w:val="0"/>
          <w:sz w:val="19"/>
        </w:rPr>
        <w:t>Because θ</w:t>
      </w:r>
      <w:r>
        <w:rPr>
          <w:b w:val="0"/>
          <w:i w:val="0"/>
          <w:sz w:val="19"/>
          <w:vertAlign w:val="subscript"/>
        </w:rPr>
        <w:t>max</w:t>
      </w:r>
      <w:r>
        <w:rPr>
          <w:b w:val="0"/>
          <w:i w:val="0"/>
          <w:sz w:val="19"/>
        </w:rPr>
        <w:t xml:space="preserve"> encodes the fill level (a fuller cup ⇒ smaller θ</w:t>
      </w:r>
      <w:r>
        <w:rPr>
          <w:b w:val="0"/>
          <w:i w:val="0"/>
          <w:sz w:val="19"/>
          <w:vertAlign w:val="subscript"/>
        </w:rPr>
        <w:t>max</w:t>
      </w:r>
      <w:r>
        <w:rPr>
          <w:b w:val="0"/>
          <w:i w:val="0"/>
          <w:sz w:val="19"/>
        </w:rPr>
        <w:t>), Fig. 6 shows how many grasps ours keeps spill-free as the cup is filled: nearly all at moderate fill, degrading gracefully as the cup approaches the brim.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1894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illlev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894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b w:val="0"/>
          <w:i/>
          <w:sz w:val="16"/>
        </w:rPr>
        <w:t>Figure 6. Spill-robustness vs spill threshold / fill level (T = 1.0 s, ours).</w:t>
      </w:r>
    </w:p>
    <w:p>
      <w:pPr>
        <w:spacing w:after="20" w:before="60"/>
        <w:jc w:val="both"/>
      </w:pPr>
      <w:r>
        <w:rPr>
          <w:b/>
          <w:i w:val="0"/>
          <w:sz w:val="20"/>
        </w:rPr>
        <w:t>4.3  Spill-robustness is a property of the grasp</w:t>
      </w:r>
    </w:p>
    <w:p>
      <w:pPr>
        <w:spacing w:after="100" w:before="0"/>
        <w:jc w:val="both"/>
      </w:pPr>
      <w:r>
        <w:rPr>
          <w:b w:val="0"/>
          <w:i w:val="0"/>
          <w:sz w:val="19"/>
        </w:rPr>
        <w:t>Of 120 grasps, 36% cannot reach the transport workspace (Fig. 9). For reachable grasps we define T* as the fastest budget that is both spill-free and feasible. With γ = 1.0 spill is monotone in T for 75% of grasps, so T* is well-defined; it ranges 0.7–1.6 s (median 0.9 s) and is not predicted by grasp offset (r = +0.12, Fig. 8). A spill-robust grasp thus cannot be chosen by a geometric heuristic—it must be measured by planning.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15885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st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58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b w:val="0"/>
          <w:i/>
          <w:sz w:val="16"/>
        </w:rPr>
        <w:t>Figure 7. Fastest feasible spill-free transport time T* per grasp; it varies across grasps.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21997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star_offs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199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b w:val="0"/>
          <w:i/>
          <w:sz w:val="16"/>
        </w:rPr>
        <w:t>Figure 8. T* vs EE–mug offset (r = +0.12): grasp geometry does not predict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21293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a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129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b w:val="0"/>
          <w:i/>
          <w:sz w:val="16"/>
        </w:rPr>
        <w:t>Figure 9. Reachability by taxonomy: 36% of grasps cannot reach the task.</w:t>
      </w:r>
    </w:p>
    <w:p>
      <w:pPr>
        <w:spacing w:after="20" w:before="60"/>
        <w:jc w:val="both"/>
      </w:pPr>
      <w:r>
        <w:rPr>
          <w:b/>
          <w:i w:val="0"/>
          <w:sz w:val="20"/>
        </w:rPr>
        <w:t>4.4  Qualitative</w:t>
      </w:r>
    </w:p>
    <w:p>
      <w:pPr>
        <w:spacing w:after="100" w:before="0"/>
        <w:jc w:val="both"/>
      </w:pPr>
      <w:r>
        <w:rPr>
          <w:b w:val="0"/>
          <w:i w:val="0"/>
          <w:sz w:val="19"/>
        </w:rPr>
        <w:t>Figure 10 shows the five methods on one task; only ours and chomp-smooth stay below the spill threshold, but the spill-aware baselines do so only via infeasible motion (Fig. 4).</w:t>
      </w:r>
    </w:p>
    <w:p>
      <w:pPr>
        <w:sectPr>
          <w:type w:val="continuous"/>
          <w:pgSz w:w="12240" w:h="15840"/>
          <w:pgMar w:top="1008" w:right="1008" w:bottom="1008" w:left="1008" w:header="720" w:footer="720" w:gutter="0"/>
          <w:cols w:space="300" w:num="2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6322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ajectori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32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b w:val="0"/>
          <w:i/>
          <w:sz w:val="16"/>
        </w:rPr>
        <w:t>Figure 10. Five methods on one task: mug-center paths (left) and effective tilt over time (right).</w:t>
      </w:r>
    </w:p>
    <w:p>
      <w:pPr>
        <w:sectPr>
          <w:type w:val="continuous"/>
          <w:pgSz w:w="12240" w:h="15840"/>
          <w:pgMar w:top="1008" w:right="1008" w:bottom="1008" w:left="1008" w:header="720" w:footer="720" w:gutter="0"/>
          <w:cols w:space="300" w:num="1"/>
          <w:docGrid w:linePitch="360"/>
        </w:sectPr>
      </w:pPr>
    </w:p>
    <w:p>
      <w:pPr>
        <w:spacing w:after="40" w:before="140"/>
        <w:jc w:val="both"/>
      </w:pPr>
      <w:r>
        <w:rPr>
          <w:b/>
          <w:i w:val="0"/>
          <w:sz w:val="22"/>
        </w:rPr>
        <w:t>5  Discussion and Limitations</w:t>
      </w:r>
    </w:p>
    <w:p>
      <w:pPr>
        <w:spacing w:after="100" w:before="0"/>
        <w:jc w:val="both"/>
      </w:pPr>
      <w:r>
        <w:rPr>
          <w:b w:val="0"/>
          <w:i w:val="0"/>
          <w:sz w:val="19"/>
        </w:rPr>
        <w:t>Feasibility is the central subtlety. The spill cost constrains only the direction of effective gravity, so an aggressive weight or over-fast budget yields trajectories that are nominally spill-free but violate joint limits (up to ~10 rad/s and ~330 rad/s</w:t>
      </w:r>
      <w:r>
        <w:rPr>
          <w:b w:val="0"/>
          <w:i w:val="0"/>
          <w:sz w:val="19"/>
          <w:vertAlign w:val="superscript"/>
        </w:rPr>
        <w:t>2</w:t>
      </w:r>
      <w:r>
        <w:rPr>
          <w:b w:val="0"/>
          <w:i w:val="0"/>
          <w:sz w:val="19"/>
        </w:rPr>
        <w:t>, far above the UR5e limits). We report at a feasible budget with a moderate weight and include a feasibility metric; properly coupling dynamic limits (time-optimal reparameterization or hard constraints) is future work. We use the quasi-static apparent-gravity cone [3], not full CFD; a rigid-body particle simulation we built behaves granularly and is not used quantitatively. CHOMP non-convexity makes spill only weakly monotone in T, so we treat T* statistically. Scope: a single mug instance. We found and fixed an inverted cup up-axis convention midway; all numbers use the corrected convention.</w:t>
      </w:r>
    </w:p>
    <w:p>
      <w:pPr>
        <w:spacing w:after="100" w:before="0"/>
        <w:jc w:val="both"/>
      </w:pPr>
      <w:r>
        <w:rPr>
          <w:b w:val="0"/>
          <w:i w:val="0"/>
          <w:sz w:val="19"/>
        </w:rPr>
        <w:t>Several modeling choices should be read with care. (a) The mug acceleration uses a central second difference with the two endpoints copied from their neighbors, which understates the launch/braking accelerations of the rest-to-rest motion, so absolute spill ratios are mildly optimistic (the relative method ordering is unaffected). (b) We apply the CHOMP M</w:t>
      </w:r>
      <w:r>
        <w:rPr>
          <w:b w:val="0"/>
          <w:i w:val="0"/>
          <w:sz w:val="19"/>
          <w:vertAlign w:val="superscript"/>
        </w:rPr>
        <w:t>−1</w:t>
      </w:r>
      <w:r>
        <w:rPr>
          <w:b w:val="0"/>
          <w:i w:val="0"/>
          <w:sz w:val="19"/>
        </w:rPr>
        <w:t xml:space="preserve"> metric to the gradient but optimize with Adam and gradient clipping, so the metric-vs-no-metric ablation (ours vs vanilla-grad) is not a clean isolation of the covariant step; the advantage of ours is, however, corroborated independently by feasibility. (c) The joint velocity/acceleration limits (3.3 rad/s, 20 rad/s</w:t>
      </w:r>
      <w:r>
        <w:rPr>
          <w:b w:val="0"/>
          <w:i w:val="0"/>
          <w:sz w:val="19"/>
          <w:vertAlign w:val="superscript"/>
        </w:rPr>
        <w:t>2</w:t>
      </w:r>
      <w:r>
        <w:rPr>
          <w:b w:val="0"/>
          <w:i w:val="0"/>
          <w:sz w:val="19"/>
        </w:rPr>
        <w:t>) are nominal rather than datasheet-exact and set the absolute feasibility and T* values. (d) The fill-level axis in Fig. 6 is a nominal reparameterization of θ</w:t>
      </w:r>
      <w:r>
        <w:rPr>
          <w:b w:val="0"/>
          <w:i w:val="0"/>
          <w:sz w:val="19"/>
          <w:vertAlign w:val="subscript"/>
        </w:rPr>
        <w:t>max</w:t>
      </w:r>
      <w:r>
        <w:rPr>
          <w:b w:val="0"/>
          <w:i w:val="0"/>
          <w:sz w:val="19"/>
        </w:rPr>
        <w:t xml:space="preserve"> (the mesh is a closed solid with no modeled cavity); the spill-free fractions are real but the “% full” labels are approximate. (e) Reachability is decided by IK position error alone (no joint-limit, collision, or orientation gating), so the 36% figure conflates true infeasibility with IK-convergence limits.</w:t>
      </w:r>
    </w:p>
    <w:p>
      <w:pPr>
        <w:spacing w:after="40" w:before="140"/>
        <w:jc w:val="both"/>
      </w:pPr>
      <w:r>
        <w:rPr>
          <w:b/>
          <w:i w:val="0"/>
          <w:sz w:val="22"/>
        </w:rPr>
        <w:t>6  Conclusion and Future Work</w:t>
      </w:r>
    </w:p>
    <w:p>
      <w:pPr>
        <w:spacing w:after="100" w:before="0"/>
        <w:jc w:val="both"/>
      </w:pPr>
      <w:r>
        <w:rPr>
          <w:b w:val="0"/>
          <w:i w:val="0"/>
          <w:sz w:val="19"/>
        </w:rPr>
        <w:t>We built a spill-aware planner that, at a feasible budget, uniquely achieves both spill-free and joint-limit-feasible transport, and showed that the fastest feasible spill-free transport time is a grasp property not predictable from geometry, so it must be measured. This is the signal a grasp generator could consume: future work is to feed the measured spill margin back into grasp selection, couple dynamic limits and obstacles, and extend to more objects and a learned spill model.</w:t>
      </w:r>
    </w:p>
    <w:p>
      <w:pPr>
        <w:spacing w:after="40" w:before="140"/>
        <w:jc w:val="both"/>
      </w:pPr>
      <w:r>
        <w:rPr>
          <w:b/>
          <w:i w:val="0"/>
          <w:sz w:val="22"/>
        </w:rPr>
        <w:t>References</w:t>
      </w:r>
    </w:p>
    <w:p>
      <w:pPr>
        <w:spacing w:after="20"/>
        <w:jc w:val="both"/>
      </w:pPr>
      <w:r>
        <w:rPr>
          <w:sz w:val="16"/>
        </w:rPr>
        <w:t>[1] M. Heins, A. P. Schoellig, “Keep It Upright: MPC for Nonprehensile Object Transportation with Obstacle Avoidance,” IEEE RA-L, 2023.</w:t>
      </w:r>
    </w:p>
    <w:p>
      <w:pPr>
        <w:spacing w:after="20"/>
        <w:jc w:val="both"/>
      </w:pPr>
      <w:r>
        <w:rPr>
          <w:sz w:val="16"/>
        </w:rPr>
        <w:t>[2] M. Selvaggio et al., “Non-Prehensile Object Transportation via MPC Non-Sliding Manipulation Control,” IEEE TCST, 2023.</w:t>
      </w:r>
    </w:p>
    <w:p>
      <w:pPr>
        <w:spacing w:after="20"/>
        <w:jc w:val="both"/>
      </w:pPr>
      <w:r>
        <w:rPr>
          <w:sz w:val="16"/>
        </w:rPr>
        <w:t>[3] T. P. Muchacho, R. Laha, L. Figueredo, S. Haddadin, “A Solution to Slosh-free Robot Trajectory Optimization,” IROS, 2022.</w:t>
      </w:r>
    </w:p>
    <w:p>
      <w:pPr>
        <w:spacing w:after="20"/>
        <w:jc w:val="both"/>
      </w:pPr>
      <w:r>
        <w:rPr>
          <w:sz w:val="16"/>
        </w:rPr>
        <w:t>[4] L. Moriello, L. Biagiotti, C. Melchiorri, A. Paoli, “Manipulating liquids with robots: a sloshing-free solution,” Control Eng. Practice, 2018.</w:t>
      </w:r>
    </w:p>
    <w:p>
      <w:pPr>
        <w:spacing w:after="20"/>
        <w:jc w:val="both"/>
      </w:pPr>
      <w:r>
        <w:rPr>
          <w:sz w:val="16"/>
        </w:rPr>
        <w:t>[5] G. Gandhi, B. Sundaralingam, J. Pan et al., “Clutter-Aware Spill-Free Liquid Transport via Learned Dynamics,” arXiv:2408.00215, 2024.</w:t>
      </w:r>
    </w:p>
    <w:p>
      <w:pPr>
        <w:spacing w:after="20"/>
        <w:jc w:val="both"/>
      </w:pPr>
      <w:r>
        <w:rPr>
          <w:sz w:val="16"/>
        </w:rPr>
        <w:t>[6] C. Di Lillo, Q.-C. Pham et al., “Robotic Handling of Liquids with Spilling Avoidance,” ICRA, 2019.</w:t>
      </w:r>
    </w:p>
    <w:p>
      <w:pPr>
        <w:spacing w:after="20"/>
        <w:jc w:val="both"/>
      </w:pPr>
      <w:r>
        <w:rPr>
          <w:sz w:val="16"/>
        </w:rPr>
        <w:t>[7] M. Zucker, N. Ratliff, A. Dragan et al., “CHOMP,” IJRR, 2013.</w:t>
      </w:r>
    </w:p>
    <w:p>
      <w:pPr>
        <w:spacing w:after="20"/>
        <w:jc w:val="both"/>
      </w:pPr>
      <w:r>
        <w:rPr>
          <w:sz w:val="16"/>
        </w:rPr>
        <w:t>[8] M. Kalakrishnan, S. Chitta, E. Theodorou, P. Pastor, S. Schaal, “STOMP,” ICRA, 2011.</w:t>
      </w:r>
    </w:p>
    <w:p>
      <w:pPr>
        <w:spacing w:after="20"/>
        <w:jc w:val="both"/>
      </w:pPr>
      <w:r>
        <w:rPr>
          <w:sz w:val="16"/>
        </w:rPr>
        <w:t>[9] J. Schulman et al., “Motion planning with sequential convex optimization and convex collision checking,” IJRR, 2014.</w:t>
      </w:r>
    </w:p>
    <w:p>
      <w:pPr>
        <w:spacing w:after="20"/>
        <w:jc w:val="both"/>
      </w:pPr>
      <w:r>
        <w:rPr>
          <w:sz w:val="16"/>
        </w:rPr>
        <w:t>[10] A. Byravan, B. Boots, S. Srinivasa, D. Fox, “Space-Time Functional Gradient Optimization for Motion Planning,” ICRA, 2014.</w:t>
      </w:r>
    </w:p>
    <w:p>
      <w:pPr>
        <w:spacing w:after="20"/>
        <w:jc w:val="both"/>
      </w:pPr>
      <w:r>
        <w:rPr>
          <w:sz w:val="16"/>
        </w:rPr>
        <w:t>[11] D. Berenson, S. Srinivasa, J. Kuffner, “Task Space Regions,” IJRR, 2011.</w:t>
      </w:r>
    </w:p>
    <w:p>
      <w:pPr>
        <w:spacing w:after="20"/>
        <w:jc w:val="both"/>
      </w:pPr>
      <w:r>
        <w:rPr>
          <w:sz w:val="16"/>
        </w:rPr>
        <w:t>[12] M. Stilman, “Global Manipulation Planning in Robot Joint Space with Task Constraints,” IEEE T-RO, 2010.</w:t>
      </w:r>
    </w:p>
    <w:p>
      <w:pPr>
        <w:spacing w:after="20"/>
        <w:jc w:val="both"/>
      </w:pPr>
      <w:r>
        <w:rPr>
          <w:sz w:val="16"/>
        </w:rPr>
        <w:t>[13] H. Dang, P. K. Allen, “Semantic grasping,” Autonomous Robots, 2014.</w:t>
      </w:r>
    </w:p>
    <w:p>
      <w:pPr>
        <w:spacing w:after="20"/>
        <w:jc w:val="both"/>
      </w:pPr>
      <w:r>
        <w:rPr>
          <w:sz w:val="16"/>
        </w:rPr>
        <w:t>[14] K. Fang, Y. Zhu, A. Garg et al., “Learning Task-Oriented Grasping,” IJRR, 2020.</w:t>
      </w:r>
    </w:p>
    <w:p>
      <w:pPr>
        <w:spacing w:after="20"/>
        <w:jc w:val="both"/>
      </w:pPr>
      <w:r>
        <w:rPr>
          <w:sz w:val="16"/>
        </w:rPr>
        <w:t>[15] M. Toussaint, K. Allen, K. Smith, J. Tenenbaum, “Differentiable Physics and Stable Modes for Tool-Use and Manipulation Planning,” RSS, 2018.</w:t>
      </w:r>
    </w:p>
    <w:p>
      <w:pPr>
        <w:spacing w:after="20"/>
        <w:jc w:val="both"/>
      </w:pPr>
      <w:r>
        <w:rPr>
          <w:sz w:val="16"/>
        </w:rPr>
        <w:t>[16] J. Fontanals et al., “Grasping for a Purpose,” ICRA, 2014.</w:t>
      </w:r>
    </w:p>
    <w:sectPr w:rsidR="00FC693F" w:rsidRPr="0006063C" w:rsidSect="00034616">
      <w:type w:val="continuous"/>
      <w:pgSz w:w="12240" w:h="15840"/>
      <w:pgMar w:top="1008" w:right="1008" w:bottom="1008" w:left="1008" w:header="720" w:footer="720" w:gutter="0"/>
      <w:cols w:space="3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