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60"/>
      </w:pPr>
      <w:r>
        <w:rPr>
          <w:rFonts w:ascii="Segoe UI" w:cs="Segoe UI" w:eastAsia="Segoe UI" w:hAnsi="Segoe UI"/>
          <w:b/>
          <w:bCs/>
          <w:color w:val="111827"/>
          <w:sz w:val="39"/>
          <w:szCs w:val="39"/>
        </w:rPr>
        <w:t xml:space="preserve">AI Horizon</w:t>
      </w:r>
    </w:p>
    <w:p>
      <w:pPr>
        <w:spacing w:after="200" w:line="260"/>
      </w:pPr>
      <w:r>
        <w:rPr>
          <w:rFonts w:ascii="Segoe UI" w:cs="Segoe UI" w:eastAsia="Segoe UI" w:hAnsi="Segoe UI"/>
          <w:b w:val="false"/>
          <w:bCs w:val="false"/>
          <w:color w:val="6B7280"/>
          <w:sz w:val="21"/>
          <w:szCs w:val="21"/>
        </w:rPr>
        <w:t xml:space="preserve">AI threat intelligence dashboard — access reminder &amp; sample deck</w:t>
      </w:r>
    </w:p>
    <w:p>
      <w:pPr>
        <w:pBdr>
          <w:bottom w:val="single" w:color="E5E7EB" w:sz="4"/>
        </w:pBdr>
        <w:spacing w:after="240" w:before="0" w:line="120"/>
      </w:pPr>
    </w:p>
    <w:p>
      <w:pPr>
        <w:spacing w:after="160" w:line="320"/>
      </w:pPr>
      <w:r>
        <w:rPr>
          <w:rFonts w:ascii="Segoe UI" w:cs="Segoe UI" w:eastAsia="Segoe UI" w:hAnsi="Segoe UI"/>
          <w:b w:val="false"/>
          <w:bCs w:val="false"/>
          <w:color w:val="374151"/>
          <w:sz w:val="21"/>
          <w:szCs w:val="21"/>
        </w:rPr>
        <w:t xml:space="preserve">Dear colleagues,</w:t>
      </w:r>
    </w:p>
    <w:p>
      <w:pPr>
        <w:spacing w:after="280" w:line="320"/>
      </w:pPr>
      <w:r>
        <w:rPr>
          <w:rFonts w:ascii="Segoe UI" w:cs="Segoe UI" w:eastAsia="Segoe UI" w:hAnsi="Segoe UI"/>
          <w:b w:val="false"/>
          <w:bCs w:val="false"/>
          <w:color w:val="374151"/>
          <w:sz w:val="21"/>
          <w:szCs w:val="21"/>
        </w:rPr>
        <w:t xml:space="preserve">Thank you to everyone who has taken the time to explore </w:t>
      </w: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AI Horizon</w:t>
      </w:r>
      <w:r>
        <w:rPr>
          <w:rFonts w:ascii="Segoe UI" w:cs="Segoe UI" w:eastAsia="Segoe UI" w:hAnsi="Segoe UI"/>
          <w:b w:val="false"/>
          <w:bCs w:val="false"/>
          <w:color w:val="374151"/>
          <w:sz w:val="21"/>
          <w:szCs w:val="21"/>
        </w:rPr>
        <w:t xml:space="preserve">, our AI Threat Intelligence dashboard. A short note with three updates, and a sample of what the dashboard can produce.</w:t>
      </w:r>
    </w:p>
    <w:tbl>
      <w:tblPr>
        <w:tblW w:type="dxa" w:w="3600"/>
        <w:jc w:val="center"/>
        <w:tblBorders>
          <w:top w:val="single" w:color="111827" w:sz="4"/>
          <w:left w:val="single" w:color="111827" w:sz="4"/>
          <w:bottom w:val="single" w:color="111827" w:sz="4"/>
          <w:right w:val="single" w:color="111827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shd w:fill="111827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0" w:line="240"/>
              <w:jc w:val="center"/>
            </w:pPr>
            <w:hyperlink w:history="1" r:id="rIdgk4nkbmsmfp3dgiqtzofv">
              <w:r>
                <w:rPr>
                  <w:rFonts w:ascii="Segoe UI" w:cs="Segoe UI" w:eastAsia="Segoe UI" w:hAnsi="Segoe UI"/>
                  <w:b/>
                  <w:bCs/>
                  <w:color w:val="FFFFFF"/>
                  <w:sz w:val="21"/>
                  <w:szCs w:val="21"/>
                </w:rPr>
                <w:t xml:space="preserve">Open AI Horizon →</w:t>
              </w:r>
            </w:hyperlink>
          </w:p>
        </w:tc>
      </w:tr>
    </w:tbl>
    <w:p>
      <w:pPr>
        <w:spacing w:after="280" w:line="120"/>
      </w:pPr>
    </w:p>
    <w:tbl>
      <w:tblPr>
        <w:tblW w:type="dxa" w:w="9026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W w:type="dxa" w:w="9026"/>
            <w:shd w:fill="F9FAFB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line="260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2"/>
                <w:szCs w:val="22"/>
              </w:rPr>
              <w:t xml:space="preserve">1. If you do not have an account yet</w:t>
            </w:r>
          </w:p>
          <w:p>
            <w:pPr>
              <w:spacing w:after="0" w:line="320"/>
            </w:pPr>
            <w:r>
              <w:rPr>
                <w:rFonts w:ascii="Segoe UI" w:cs="Segoe UI" w:eastAsia="Segoe UI" w:hAnsi="Segoe UI"/>
                <w:b w:val="false"/>
                <w:bCs w:val="false"/>
                <w:color w:val="374151"/>
                <w:sz w:val="21"/>
                <w:szCs w:val="21"/>
              </w:rPr>
              <w:t xml:space="preserve">Email </w:t>
            </w:r>
            <w:r>
              <w:rPr>
                <w:rFonts w:ascii="Segoe UI" w:cs="Segoe UI" w:eastAsia="Segoe UI" w:hAnsi="Segoe UI"/>
                <w:b/>
                <w:bCs/>
                <w:color w:val="111827"/>
                <w:sz w:val="21"/>
                <w:szCs w:val="21"/>
              </w:rPr>
              <w:t xml:space="preserve">[ADMIN_EMAIL]</w:t>
            </w:r>
            <w:r>
              <w:rPr>
                <w:rFonts w:ascii="Segoe UI" w:cs="Segoe UI" w:eastAsia="Segoe UI" w:hAnsi="Segoe UI"/>
                <w:b w:val="false"/>
                <w:bCs w:val="false"/>
                <w:color w:val="374151"/>
                <w:sz w:val="21"/>
                <w:szCs w:val="21"/>
              </w:rPr>
              <w:t xml:space="preserve"> to request one. We will send your login details and a short user guide once you are registered. Please use your </w:t>
            </w:r>
            <w:r>
              <w:rPr>
                <w:rFonts w:ascii="Segoe UI" w:cs="Segoe UI" w:eastAsia="Segoe UI" w:hAnsi="Segoe UI"/>
                <w:b/>
                <w:bCs/>
                <w:color w:val="111827"/>
                <w:sz w:val="21"/>
                <w:szCs w:val="21"/>
              </w:rPr>
              <w:t xml:space="preserve">CSA email address</w:t>
            </w:r>
            <w:r>
              <w:rPr>
                <w:rFonts w:ascii="Segoe UI" w:cs="Segoe UI" w:eastAsia="Segoe UI" w:hAnsi="Segoe UI"/>
                <w:b w:val="false"/>
                <w:bCs w:val="false"/>
                <w:color w:val="374151"/>
                <w:sz w:val="21"/>
                <w:szCs w:val="21"/>
              </w:rPr>
              <w:t xml:space="preserve"> for anything account-related.</w:t>
            </w:r>
          </w:p>
        </w:tc>
      </w:tr>
    </w:tbl>
    <w:p>
      <w:pPr>
        <w:spacing w:after="160" w:line="120"/>
      </w:pPr>
    </w:p>
    <w:tbl>
      <w:tblPr>
        <w:tblW w:type="dxa" w:w="9026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W w:type="dxa" w:w="9026"/>
            <w:shd w:fill="F9FAFB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line="260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2"/>
                <w:szCs w:val="22"/>
              </w:rPr>
              <w:t xml:space="preserve">2. If you already requested access</w:t>
            </w:r>
          </w:p>
          <w:p>
            <w:pPr>
              <w:spacing w:after="120" w:line="320"/>
            </w:pPr>
            <w:r>
              <w:rPr>
                <w:rFonts w:ascii="Segoe UI" w:cs="Segoe UI" w:eastAsia="Segoe UI" w:hAnsi="Segoe UI"/>
                <w:b w:val="false"/>
                <w:bCs w:val="false"/>
                <w:color w:val="374151"/>
                <w:sz w:val="21"/>
                <w:szCs w:val="21"/>
              </w:rPr>
              <w:t xml:space="preserve">Your credentials have already been sent. Look for the email titled </w:t>
            </w:r>
            <w:r>
              <w:rPr>
                <w:rFonts w:ascii="Segoe UI" w:cs="Segoe UI" w:eastAsia="Segoe UI" w:hAnsi="Segoe UI"/>
                <w:b/>
                <w:bCs/>
                <w:color w:val="111827"/>
                <w:sz w:val="21"/>
                <w:szCs w:val="21"/>
              </w:rPr>
              <w:t xml:space="preserve">“The AI Horizon User Credentials”</w:t>
            </w:r>
            <w:r>
              <w:rPr>
                <w:rFonts w:ascii="Segoe UI" w:cs="Segoe UI" w:eastAsia="Segoe UI" w:hAnsi="Segoe UI"/>
                <w:b w:val="false"/>
                <w:bCs w:val="false"/>
                <w:color w:val="374151"/>
                <w:sz w:val="21"/>
                <w:szCs w:val="21"/>
              </w:rPr>
              <w:t xml:space="preserve"> and sign in if you have not done so.</w:t>
            </w:r>
          </w:p>
          <w:p>
            <w:pPr>
              <w:spacing w:after="0" w:line="300"/>
            </w:pPr>
            <w:r>
              <w:rPr>
                <w:rFonts w:ascii="Segoe UI" w:cs="Segoe UI" w:eastAsia="Segoe UI" w:hAnsi="Segoe UI"/>
                <w:b w:val="false"/>
                <w:bCs w:val="false"/>
                <w:color w:val="6B7280"/>
                <w:sz w:val="19"/>
                <w:szCs w:val="19"/>
              </w:rPr>
              <w:t xml:space="preserve">You will be asked to set your own password on first login. If you cannot find the email or have trouble getting in, contact </w:t>
            </w:r>
            <w:r>
              <w:rPr>
                <w:rFonts w:ascii="Segoe UI" w:cs="Segoe UI" w:eastAsia="Segoe UI" w:hAnsi="Segoe UI"/>
                <w:b/>
                <w:bCs/>
                <w:color w:val="374151"/>
                <w:sz w:val="19"/>
                <w:szCs w:val="19"/>
              </w:rPr>
              <w:t xml:space="preserve">[ADMIN_EMAIL]</w:t>
            </w:r>
            <w:r>
              <w:rPr>
                <w:rFonts w:ascii="Segoe UI" w:cs="Segoe UI" w:eastAsia="Segoe UI" w:hAnsi="Segoe UI"/>
                <w:b w:val="false"/>
                <w:bCs w:val="false"/>
                <w:color w:val="6B7280"/>
                <w:sz w:val="19"/>
                <w:szCs w:val="19"/>
              </w:rPr>
              <w:t xml:space="preserve">.</w:t>
            </w:r>
          </w:p>
        </w:tc>
      </w:tr>
    </w:tbl>
    <w:p>
      <w:pPr>
        <w:spacing w:after="160" w:line="120"/>
      </w:pPr>
    </w:p>
    <w:tbl>
      <w:tblPr>
        <w:tblW w:type="dxa" w:w="9026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W w:type="dxa" w:w="9026"/>
            <w:shd w:fill="F9FAFB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line="260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2"/>
                <w:szCs w:val="22"/>
              </w:rPr>
              <w:t xml:space="preserve">3. The dashboard works on mobile</w:t>
            </w:r>
          </w:p>
          <w:p>
            <w:pPr>
              <w:spacing w:after="0" w:line="320"/>
            </w:pPr>
            <w:r>
              <w:rPr>
                <w:rFonts w:ascii="Segoe UI" w:cs="Segoe UI" w:eastAsia="Segoe UI" w:hAnsi="Segoe UI"/>
                <w:b w:val="false"/>
                <w:bCs w:val="false"/>
                <w:color w:val="374151"/>
                <w:sz w:val="21"/>
                <w:szCs w:val="21"/>
              </w:rPr>
              <w:t xml:space="preserve">You do not need a laptop. Open the same link in your phone’s browser and the dashboard adapts to the smaller screen — useful for a quick scan of the week’s developments on the go.</w:t>
            </w:r>
          </w:p>
        </w:tc>
      </w:tr>
    </w:tbl>
    <w:p>
      <w:pPr>
        <w:spacing w:after="280" w:line="120"/>
      </w:pPr>
    </w:p>
    <w:tbl>
      <w:tblPr>
        <w:tblW w:type="dxa" w:w="9026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W w:type="dxa" w:w="9026"/>
            <w:shd w:fill="FFFFFF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line="240"/>
            </w:pPr>
            <w:r>
              <w:rPr>
                <w:rFonts w:ascii="Segoe UI" w:cs="Segoe UI" w:eastAsia="Segoe UI" w:hAnsi="Segoe UI"/>
                <w:b/>
                <w:bCs/>
                <w:color w:val="9CA3AF"/>
                <w:sz w:val="16"/>
                <w:szCs w:val="16"/>
              </w:rPr>
              <w:t xml:space="preserve">ATTACHED</w:t>
            </w:r>
          </w:p>
          <w:p>
            <w:pPr>
              <w:spacing w:after="100" w:line="260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2"/>
                <w:szCs w:val="22"/>
              </w:rPr>
              <w:t xml:space="preserve">Sample slide deck</w:t>
            </w:r>
          </w:p>
          <w:p>
            <w:pPr>
              <w:spacing w:after="120" w:line="320"/>
            </w:pPr>
            <w:r>
              <w:rPr>
                <w:rFonts w:ascii="Segoe UI" w:cs="Segoe UI" w:eastAsia="Segoe UI" w:hAnsi="Segoe UI"/>
                <w:b w:val="false"/>
                <w:bCs w:val="false"/>
                <w:color w:val="374151"/>
                <w:sz w:val="21"/>
                <w:szCs w:val="21"/>
              </w:rPr>
              <w:t xml:space="preserve">The attached deck was generated end to end by AI Horizon — the executive summary, per-category threat developments, and key insights are all drawn from sources the platform ingested and classified itself.</w:t>
            </w:r>
          </w:p>
          <w:p>
            <w:pPr>
              <w:spacing w:after="0" w:line="300"/>
            </w:pPr>
            <w:r>
              <w:rPr>
                <w:rFonts w:ascii="Segoe UI" w:cs="Segoe UI" w:eastAsia="Segoe UI" w:hAnsi="Segoe UI"/>
                <w:b w:val="false"/>
                <w:bCs w:val="false"/>
                <w:color w:val="6B7280"/>
                <w:sz w:val="19"/>
                <w:szCs w:val="19"/>
              </w:rPr>
              <w:t xml:space="preserve">You can produce your own from the </w:t>
            </w:r>
            <w:r>
              <w:rPr>
                <w:rFonts w:ascii="Segoe UI" w:cs="Segoe UI" w:eastAsia="Segoe UI" w:hAnsi="Segoe UI"/>
                <w:b/>
                <w:bCs/>
                <w:color w:val="374151"/>
                <w:sz w:val="19"/>
                <w:szCs w:val="19"/>
              </w:rPr>
              <w:t xml:space="preserve">Generate</w:t>
            </w:r>
            <w:r>
              <w:rPr>
                <w:rFonts w:ascii="Segoe UI" w:cs="Segoe UI" w:eastAsia="Segoe UI" w:hAnsi="Segoe UI"/>
                <w:b w:val="false"/>
                <w:bCs w:val="false"/>
                <w:color w:val="6B7280"/>
                <w:sz w:val="19"/>
                <w:szCs w:val="19"/>
              </w:rPr>
              <w:t xml:space="preserve"> page: pick a reporting period (1 Month, 1 Quarter, or 1 Year) and click </w:t>
            </w:r>
            <w:r>
              <w:rPr>
                <w:rFonts w:ascii="Segoe UI" w:cs="Segoe UI" w:eastAsia="Segoe UI" w:hAnsi="Segoe UI"/>
                <w:b/>
                <w:bCs/>
                <w:color w:val="374151"/>
                <w:sz w:val="19"/>
                <w:szCs w:val="19"/>
              </w:rPr>
              <w:t xml:space="preserve">↓ Download PPTX</w:t>
            </w:r>
            <w:r>
              <w:rPr>
                <w:rFonts w:ascii="Segoe UI" w:cs="Segoe UI" w:eastAsia="Segoe UI" w:hAnsi="Segoe UI"/>
                <w:b w:val="false"/>
                <w:bCs w:val="false"/>
                <w:color w:val="6B7280"/>
                <w:sz w:val="19"/>
                <w:szCs w:val="19"/>
              </w:rPr>
              <w:t xml:space="preserve">.</w:t>
            </w:r>
          </w:p>
        </w:tc>
      </w:tr>
    </w:tbl>
    <w:p>
      <w:pPr>
        <w:spacing w:after="280" w:line="120"/>
      </w:pPr>
    </w:p>
    <w:p>
      <w:pPr>
        <w:spacing w:after="280" w:line="320"/>
      </w:pPr>
      <w:r>
        <w:rPr>
          <w:rFonts w:ascii="Segoe UI" w:cs="Segoe UI" w:eastAsia="Segoe UI" w:hAnsi="Segoe UI"/>
          <w:b w:val="false"/>
          <w:bCs w:val="false"/>
          <w:color w:val="374151"/>
          <w:sz w:val="21"/>
          <w:szCs w:val="21"/>
        </w:rPr>
        <w:t xml:space="preserve">This remains an early prototype, so all feedback is welcome — it helps shape what we build next.</w:t>
      </w:r>
    </w:p>
    <w:p>
      <w:pPr>
        <w:spacing w:after="40" w:line="320"/>
      </w:pPr>
      <w:r>
        <w:rPr>
          <w:rFonts w:ascii="Segoe UI" w:cs="Segoe UI" w:eastAsia="Segoe UI" w:hAnsi="Segoe UI"/>
          <w:b w:val="false"/>
          <w:bCs w:val="false"/>
          <w:color w:val="374151"/>
          <w:sz w:val="21"/>
          <w:szCs w:val="21"/>
        </w:rPr>
        <w:t xml:space="preserve">On behalf of the AI team,</w:t>
      </w:r>
    </w:p>
    <w:p>
      <w:pPr>
        <w:spacing w:after="360" w:line="320"/>
      </w:pPr>
      <w:r>
        <w:rPr>
          <w:rFonts w:ascii="Segoe UI" w:cs="Segoe UI" w:eastAsia="Segoe UI" w:hAnsi="Segoe UI"/>
          <w:b w:val="false"/>
          <w:bCs w:val="false"/>
          <w:color w:val="374151"/>
          <w:sz w:val="21"/>
          <w:szCs w:val="21"/>
        </w:rPr>
        <w:t xml:space="preserve">[SENDER_NAME]</w:t>
      </w:r>
    </w:p>
    <w:p>
      <w:pPr>
        <w:pBdr>
          <w:bottom w:val="single" w:color="E5E7EB" w:sz="4"/>
        </w:pBdr>
        <w:spacing w:after="240" w:before="0" w:line="120"/>
      </w:pPr>
    </w:p>
    <w:p>
      <w:pPr>
        <w:spacing w:after="0" w:line="280"/>
      </w:pPr>
      <w:r>
        <w:rPr>
          <w:rFonts w:ascii="Segoe UI" w:cs="Segoe UI" w:eastAsia="Segoe UI" w:hAnsi="Segoe UI"/>
          <w:b w:val="false"/>
          <w:bCs w:val="false"/>
          <w:color w:val="9CA3AF"/>
          <w:sz w:val="18"/>
          <w:szCs w:val="18"/>
        </w:rPr>
        <w:t xml:space="preserve">Internal use only. AI Horizon is a CSA prototype and is not accessible to the public or external organisations.</w:t>
      </w:r>
    </w:p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k4nkbmsmfp3dgiqtzofv" Type="http://schemas.openxmlformats.org/officeDocument/2006/relationships/hyperlink" Target="https://thehorizon-csecai.vercel.app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2026-08-24T09:32:14.983Z</dcterms:created>
  <dcterms:modified xsi:type="dcterms:W3CDTF">2026-08-24T09:32:14.983Z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