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Monumental (Hardware)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monumental.co   ·   Series B   ·   Amsterdam, Netherlands   ·   Khosla Ventures(Vinod Khosla)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2026-07-20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2.8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2.8)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MORE DILIGENCE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2.8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New-money Series B led by Tier 1+ Khosla Ventures, with existing seed investors following on, but domain-strategic relevance and GP-level conviction are not well detailed.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2.8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Serial software founder with prior exit and visible press presence leads a complementary technical team, though specific construction-domain depth and recruiting momentum remain partly unclear.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AI-powered machine vision and planning software are core to autonomous bricklaying performance, with proprietary models and accumulating site data suggesting a structural, feature-level-resistant advantage.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No public signs of SPV, fees, or unusual structures; assume standard VC equity terms roughly consistent with ID8’s 0/0/10 baseline for Series B co-investments.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Financial metrics are undisclosed, but live robot deployments, construction use cases, and a masonry automation market indicate promising traction despite absent revenue and valuation specifics.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With valuation undisclosed, returns are modeled qualitatively, yet Tier 1+ Series B entry into a construction robotics market suggests plausible venture-scale upside despite unquantified dilution.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Monumental aligns strongly with ID8's thesis: a new-money Tier 1+ Khosla Ventures Series B lead and core AI-driven construction robotics moat. Lack of disclosed financials and exit modeling keeps diligence confidence low but upside appears attractive.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