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Roboto Serif" w:hAnsi="Roboto Serif"/>
          <w:b/>
          <w:caps w:val="0"/>
          <w:color w:val="1A1A1A"/>
          <w:sz w:val="44"/>
        </w:rPr>
        <w:t>Warp (Business/Productivity Software)</w:t>
      </w:r>
    </w:p>
    <w:p>
      <w:pPr>
        <w:spacing w:after="40"/>
      </w:pPr>
      <w:r>
        <w:rPr>
          <w:rFonts w:ascii="Sora" w:hAnsi="Sora"/>
          <w:b w:val="0"/>
          <w:caps w:val="0"/>
          <w:color w:val="828282"/>
          <w:sz w:val="21"/>
        </w:rPr>
        <w:t>warp.co   ·   Series B   ·   New York, NY   ·   Battery Ventures</w:t>
      </w:r>
    </w:p>
    <w:p>
      <w:pPr>
        <w:spacing w:after="200"/>
      </w:pPr>
      <w:r>
        <w:rPr>
          <w:rFonts w:ascii="Sora" w:hAnsi="Sora"/>
          <w:b w:val="0"/>
          <w:caps w:val="0"/>
          <w:color w:val="828282"/>
          <w:sz w:val="18"/>
        </w:rPr>
        <w:t>Screened 2026-06-30</w:t>
      </w:r>
    </w:p>
    <w:p>
      <w:pPr>
        <w:spacing w:after="120"/>
        <w:pBdr>
          <w:bottom w:val="single" w:sz="6" w:color="1A1A1A" w:space="4"/>
        </w:pBdr>
      </w:pPr>
      <w:r>
        <w:rPr>
          <w:rFonts w:ascii="Roboto Serif" w:hAnsi="Roboto Serif"/>
          <w:b/>
          <w:caps w:val="0"/>
          <w:color w:val="1A1A1A"/>
          <w:sz w:val="28"/>
        </w:rPr>
        <w:t>FIT ASSESSMENT</w:t>
      </w:r>
    </w:p>
    <w:p>
      <w:pPr>
        <w:spacing w:before="120" w:after="240"/>
      </w:pPr>
      <w:r>
        <w:rPr>
          <w:rFonts w:ascii="Roboto Serif" w:hAnsi="Roboto Serif"/>
          <w:b/>
          <w:caps w:val="0"/>
          <w:color w:val="1A1A1A"/>
          <w:sz w:val="32"/>
        </w:rPr>
        <w:t>2.4 / 4.0</w:t>
      </w:r>
      <w:r>
        <w:rPr>
          <w:rFonts w:ascii="Sora" w:hAnsi="Sora"/>
          <w:b w:val="0"/>
          <w:caps w:val="0"/>
          <w:color w:val="828282"/>
          <w:sz w:val="21"/>
        </w:rPr>
        <w:t xml:space="preserve">   —   BELOW THRESHOLD</w:t>
      </w:r>
    </w:p>
    <w:tbl>
      <w:tblPr>
        <w:tblW w:type="auto" w:w="0"/>
        <w:tblLayout w:type="fixed"/>
        <w:tblLook w:firstColumn="1" w:firstRow="1" w:lastColumn="0" w:lastRow="0" w:noHBand="0" w:noVBand="1" w:val="04A0"/>
      </w:tblPr>
      <w:tblGrid>
        <w:gridCol w:w="3120"/>
        <w:gridCol w:w="3120"/>
        <w:gridCol w:w="3120"/>
      </w:tblGrid>
      <w:tr>
        <w:tc>
          <w:tcPr>
            <w:tcW w:type="dxa" w:w="2664"/>
            <w:shd w:val="clear" w:color="auto" w:fill="1A1A1A"/>
            <w:tcMar>
              <w:top w:w="40" w:type="dxa"/>
              <w:bottom w:w="40" w:type="dxa"/>
              <w:left w:w="60" w:type="dxa"/>
              <w:right w:w="60" w:type="dxa"/>
            </w:tcMar>
          </w:tcPr>
          <w:p>
            <w:r>
              <w:rPr>
                <w:rFonts w:ascii="Sora" w:hAnsi="Sora"/>
                <w:b/>
                <w:caps/>
                <w:color w:val="FFFFFF"/>
                <w:sz w:val="18"/>
              </w:rPr>
              <w:t>Dimension</w:t>
            </w:r>
          </w:p>
        </w:tc>
        <w:tc>
          <w:tcPr>
            <w:tcW w:type="dxa" w:w="792"/>
            <w:shd w:val="clear" w:color="auto" w:fill="1A1A1A"/>
            <w:tcMar>
              <w:top w:w="40" w:type="dxa"/>
              <w:bottom w:w="40" w:type="dxa"/>
              <w:left w:w="60" w:type="dxa"/>
              <w:right w:w="60" w:type="dxa"/>
            </w:tcMar>
          </w:tcPr>
          <w:p>
            <w:r>
              <w:rPr>
                <w:rFonts w:ascii="Sora" w:hAnsi="Sora"/>
                <w:b/>
                <w:caps/>
                <w:color w:val="FFFFFF"/>
                <w:sz w:val="18"/>
              </w:rPr>
              <w:t>Score</w:t>
            </w:r>
          </w:p>
        </w:tc>
        <w:tc>
          <w:tcPr>
            <w:tcW w:type="dxa" w:w="5904"/>
            <w:shd w:val="clear" w:color="auto" w:fill="1A1A1A"/>
            <w:tcMar>
              <w:top w:w="40" w:type="dxa"/>
              <w:bottom w:w="40" w:type="dxa"/>
              <w:left w:w="60" w:type="dxa"/>
              <w:right w:w="60" w:type="dxa"/>
            </w:tcMar>
          </w:tcPr>
          <w:p>
            <w:r>
              <w:rPr>
                <w:rFonts w:ascii="Sora" w:hAnsi="Sora"/>
                <w:b/>
                <w:caps/>
                <w:color w:val="FFFFFF"/>
                <w:sz w:val="18"/>
              </w:rPr>
              <w:t>Evidence</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Lead / Round Dynamics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Warp raised a $60M Series B led by Battery Ventures, with participation from Peak XV, Sound Ventures, and Y Combinator. This appears to be a strong new-money Series B lead, but no evidence in the provided results establishes Battery as a Tier 1 lead by ID8’s standard, so it fits the top-tier/new-money band conservatively at 2 rather than 4.[1][2]</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AI Score</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Warp is described as an AI-native platform for payroll, compliance, benefits, onboarding, and employee lifecycle management, and Fenwick says it uses AI to automate payroll compliance and employee management. That supports AI as central to the product, but the company is not presented as pure-play AI.[2][4]</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Fundamentals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The search results provide no revenue, growth, NDR, LTV/CAC, or burn metrics, so the core operating fundamentals cannot be verified. With no evidence for the rubric’s strong-financial thresholds, this should be scored conservatively low.[1][2][4]</w:t>
            </w:r>
          </w:p>
        </w:tc>
      </w:tr>
      <w:tr>
        <w:tc>
          <w:tcPr>
            <w:tcW w:type="dxa" w:w="266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Return Potential</w:t>
            </w:r>
          </w:p>
        </w:tc>
        <w:tc>
          <w:tcPr>
            <w:tcW w:type="dxa" w:w="792"/>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3</w:t>
            </w:r>
            <w:r>
              <w:rPr>
                <w:rFonts w:ascii="Sora" w:hAnsi="Sora"/>
                <w:b w:val="0"/>
                <w:caps w:val="0"/>
                <w:color w:val="828282"/>
                <w:sz w:val="17"/>
              </w:rPr>
              <w:t xml:space="preserve"> / 4</w:t>
            </w:r>
          </w:p>
        </w:tc>
        <w:tc>
          <w:tcPr>
            <w:tcW w:type="dxa" w:w="5904"/>
            <w:shd w:val="clear" w:color="auto" w:fill="FFFFFF"/>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Warp is a Series B company in enterprise software with a $60M round and a stated mission around employee management and AI-native automation, which suggests meaningful upside if the platform scales. However, the provided evidence does not support the low-risk, &gt;7x profile required for a 4, so the safer placement is above 3x potential but with some risk of capital loss.[1][4]</w:t>
            </w:r>
          </w:p>
        </w:tc>
      </w:tr>
      <w:tr>
        <w:tc>
          <w:tcPr>
            <w:tcW w:type="dxa" w:w="266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1A1A1A"/>
                <w:sz w:val="19"/>
              </w:rPr>
              <w:t>Terms</w:t>
            </w:r>
          </w:p>
        </w:tc>
        <w:tc>
          <w:tcPr>
            <w:tcW w:type="dxa" w:w="792"/>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caps w:val="0"/>
                <w:color w:val="1A1A1A"/>
                <w:sz w:val="19"/>
              </w:rPr>
              <w:t>2</w:t>
            </w:r>
            <w:r>
              <w:rPr>
                <w:rFonts w:ascii="Sora" w:hAnsi="Sora"/>
                <w:b w:val="0"/>
                <w:caps w:val="0"/>
                <w:color w:val="828282"/>
                <w:sz w:val="17"/>
              </w:rPr>
              <w:t xml:space="preserve"> / 4</w:t>
            </w:r>
          </w:p>
        </w:tc>
        <w:tc>
          <w:tcPr>
            <w:tcW w:type="dxa" w:w="5904"/>
            <w:shd w:val="clear" w:color="auto" w:fill="F5F5F5"/>
            <w:tcMar>
              <w:top w:w="40" w:type="dxa"/>
              <w:bottom w:w="40" w:type="dxa"/>
              <w:left w:w="60" w:type="dxa"/>
              <w:right w:w="60" w:type="dxa"/>
            </w:tcMar>
            <w:tcBorders>
              <w:top w:val="nil"/>
              <w:left w:val="nil"/>
              <w:right w:val="nil"/>
              <w:bottom w:val="single" w:sz="4" w:color="E4DFD5"/>
            </w:tcBorders>
          </w:tcPr>
          <w:p>
            <w:r>
              <w:rPr>
                <w:rFonts w:ascii="Sora" w:hAnsi="Sora"/>
                <w:b w:val="0"/>
                <w:caps w:val="0"/>
                <w:color w:val="3C3C3C"/>
                <w:sz w:val="18"/>
              </w:rPr>
              <w:t>No carry, fee, SPV structure, or time-horizon details are provided in the search results. Because the terms are not evidenced, they cannot be credited as clean 0/10-style institutional terms and should be scored conservatively in the middle-lower band.[1][2]</w:t>
            </w:r>
          </w:p>
        </w:tc>
      </w:tr>
    </w:tbl>
    <w:p>
      <w:pPr>
        <w:spacing w:after="160"/>
      </w:pPr>
    </w:p>
    <w:p>
      <w:pPr>
        <w:spacing w:after="120"/>
        <w:pBdr>
          <w:bottom w:val="single" w:sz="6" w:color="1A1A1A" w:space="4"/>
        </w:pBdr>
      </w:pPr>
      <w:r>
        <w:rPr>
          <w:rFonts w:ascii="Roboto Serif" w:hAnsi="Roboto Serif"/>
          <w:b/>
          <w:caps w:val="0"/>
          <w:color w:val="1A1A1A"/>
          <w:sz w:val="24"/>
        </w:rPr>
        <w:t>RATIONALE</w:t>
      </w:r>
    </w:p>
    <w:p>
      <w:pPr>
        <w:spacing w:before="120" w:after="120"/>
        <w:jc w:val="both"/>
      </w:pPr>
      <w:r>
        <w:rPr>
          <w:rFonts w:ascii="Sora" w:hAnsi="Sora"/>
          <w:b w:val="0"/>
          <w:caps w:val="0"/>
          <w:color w:val="1A1A1A"/>
          <w:sz w:val="21"/>
        </w:rPr>
        <w:t>The deal passes both hard gates: it is a Series B and the company is headquartered in New York, a developed-market geography. On ID8’s core thesis, the round is aligned in that Battery is the new-money lead on a Series B, but the evidence here does not prove Battery is a Tier 1 lead by ID8’s definition, so the thesis match is only partial rather than fully validated. The company looks AI-native and potentially attractive, but the lack of verifiable operating metrics and terms keeps this as a moderate fit rather than a clear top-tier one.</w:t>
      </w:r>
    </w:p>
    <w:p>
      <w:pPr>
        <w:spacing w:before="80"/>
      </w:pPr>
      <w:r>
        <w:rPr>
          <w:rFonts w:ascii="Sora" w:hAnsi="Sora"/>
          <w:b w:val="0"/>
          <w:caps w:val="0"/>
          <w:color w:val="828282"/>
          <w:sz w:val="18"/>
        </w:rPr>
        <w:t>Confidence: medium</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ora" w:hAnsi="Sora"/>
        <w:b w:val="0"/>
        <w:caps w:val="0"/>
        <w:color w:val="828282"/>
        <w:sz w:val="17"/>
      </w:rPr>
      <w:t xml:space="preserve">Page </w:t>
    </w:r>
    <w:fldChar w:fldCharType="begin"/>
    <w:instrText xml:space="preserve"> PAGE </w:instrText>
    <w:fldChar w:fldCharType="end"/>
    <w:r>
      <w:rPr>
        <w:rFonts w:ascii="Sora" w:hAnsi="Sora"/>
        <w:b w:val="0"/>
        <w:caps w:val="0"/>
        <w:color w:val="828282"/>
        <w:sz w:val="17"/>
      </w:rPr>
      <w:t xml:space="preserve"> of </w:t>
    </w:r>
    <w:fldChar w:fldCharType="begin"/>
    <w:instrText xml:space="preserve"> NUMPAGES </w:instrText>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440"/>
      <w:gridCol w:w="7920"/>
    </w:tblGrid>
    <w:tr>
      <w:tc>
        <w:tcPr>
          <w:tcW w:type="dxa" w:w="4680"/>
          <w:tcBorders>
            <w:top w:val="nil"/>
            <w:left w:val="nil"/>
            <w:right w:val="nil"/>
            <w:bottom w:val="single" w:sz="4" w:color="1A1A1A"/>
          </w:tcBorders>
        </w:tcPr>
        <w:p>
          <w:r>
            <w:drawing>
              <wp:inline xmlns:a="http://schemas.openxmlformats.org/drawingml/2006/main" xmlns:pic="http://schemas.openxmlformats.org/drawingml/2006/picture">
                <wp:extent cx="594360" cy="58725"/>
                <wp:docPr id="1" name="Picture 1"/>
                <wp:cNvGraphicFramePr>
                  <a:graphicFrameLocks noChangeAspect="1"/>
                </wp:cNvGraphicFramePr>
                <a:graphic>
                  <a:graphicData uri="http://schemas.openxmlformats.org/drawingml/2006/picture">
                    <pic:pic>
                      <pic:nvPicPr>
                        <pic:cNvPr id="0" name="id8_charcoal.png"/>
                        <pic:cNvPicPr/>
                      </pic:nvPicPr>
                      <pic:blipFill>
                        <a:blip r:embed="rId1"/>
                        <a:stretch>
                          <a:fillRect/>
                        </a:stretch>
                      </pic:blipFill>
                      <pic:spPr>
                        <a:xfrm>
                          <a:off x="0" y="0"/>
                          <a:ext cx="594360" cy="58725"/>
                        </a:xfrm>
                        <a:prstGeom prst="rect"/>
                      </pic:spPr>
                    </pic:pic>
                  </a:graphicData>
                </a:graphic>
              </wp:inline>
            </w:drawing>
          </w:r>
        </w:p>
      </w:tc>
      <w:tc>
        <w:tcPr>
          <w:tcW w:type="dxa" w:w="4680"/>
          <w:tcBorders>
            <w:top w:val="nil"/>
            <w:left w:val="nil"/>
            <w:right w:val="nil"/>
            <w:bottom w:val="single" w:sz="4" w:color="1A1A1A"/>
          </w:tcBorders>
        </w:tcPr>
        <w:p>
          <w:pPr>
            <w:spacing w:before="80"/>
            <w:jc w:val="right"/>
          </w:pPr>
          <w:r>
            <w:rPr>
              <w:rFonts w:ascii="Sora" w:hAnsi="Sora"/>
              <w:b w:val="0"/>
              <w:caps/>
              <w:color w:val="828282"/>
              <w:sz w:val="16"/>
            </w:rPr>
            <w:t>DEAL SCREEN  ·  ID8 INVESTMENTS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ra" w:hAnsi="Sor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