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Roboto Serif" w:hAnsi="Roboto Serif"/>
          <w:b/>
          <w:caps w:val="0"/>
          <w:color w:val="1A1A1A"/>
          <w:sz w:val="44"/>
        </w:rPr>
        <w:t>Higharc</w:t>
      </w:r>
    </w:p>
    <w:p>
      <w:pPr>
        <w:spacing w:after="40"/>
      </w:pPr>
      <w:r>
        <w:rPr>
          <w:rFonts w:ascii="Sora" w:hAnsi="Sora"/>
          <w:b w:val="0"/>
          <w:caps w:val="0"/>
          <w:color w:val="828282"/>
          <w:sz w:val="21"/>
        </w:rPr>
        <w:t>higharc.com   ·   Series C   ·   Durham, NC   ·   Insight Partners (New York)(Joshua Fredberg)</w:t>
      </w:r>
    </w:p>
    <w:p>
      <w:pPr>
        <w:spacing w:after="200"/>
      </w:pPr>
      <w:r>
        <w:rPr>
          <w:rFonts w:ascii="Sora" w:hAnsi="Sora"/>
          <w:b w:val="0"/>
          <w:caps w:val="0"/>
          <w:color w:val="828282"/>
          <w:sz w:val="18"/>
        </w:rPr>
        <w:t>Screened 2026-07-06</w:t>
      </w:r>
    </w:p>
    <w:p>
      <w:pPr>
        <w:spacing w:after="120"/>
        <w:pBdr>
          <w:bottom w:val="single" w:sz="6" w:color="1A1A1A" w:space="4"/>
        </w:pBdr>
      </w:pPr>
      <w:r>
        <w:rPr>
          <w:rFonts w:ascii="Roboto Serif" w:hAnsi="Roboto Serif"/>
          <w:b/>
          <w:caps w:val="0"/>
          <w:color w:val="1A1A1A"/>
          <w:sz w:val="28"/>
        </w:rPr>
        <w:t>FIT ASSESSMENT</w:t>
      </w:r>
    </w:p>
    <w:p>
      <w:pPr>
        <w:spacing w:before="120" w:after="240"/>
      </w:pPr>
      <w:r>
        <w:rPr>
          <w:rFonts w:ascii="Roboto Serif" w:hAnsi="Roboto Serif"/>
          <w:b/>
          <w:caps w:val="0"/>
          <w:color w:val="1A1A1A"/>
          <w:sz w:val="32"/>
        </w:rPr>
        <w:t>2.9 / 4.0</w:t>
      </w:r>
      <w:r>
        <w:rPr>
          <w:rFonts w:ascii="Sora" w:hAnsi="Sora"/>
          <w:b w:val="0"/>
          <w:caps w:val="0"/>
          <w:color w:val="828282"/>
          <w:sz w:val="21"/>
        </w:rPr>
        <w:t xml:space="preserve">   (raw 2.8)</w:t>
      </w:r>
      <w:r>
        <w:rPr>
          <w:rFonts w:ascii="Sora" w:hAnsi="Sora"/>
          <w:b w:val="0"/>
          <w:caps w:val="0"/>
          <w:color w:val="828282"/>
          <w:sz w:val="21"/>
        </w:rPr>
        <w:t xml:space="preserve">   —   MORE DILIGENCE</w:t>
      </w:r>
    </w:p>
    <w:tbl>
      <w:tblPr>
        <w:tblW w:type="auto" w:w="0"/>
        <w:tblLayout w:type="fixed"/>
        <w:tblLook w:firstColumn="1" w:firstRow="1" w:lastColumn="0" w:lastRow="0" w:noHBand="0" w:noVBand="1" w:val="04A0"/>
      </w:tblPr>
      <w:tblGrid>
        <w:gridCol w:w="3120"/>
        <w:gridCol w:w="3120"/>
        <w:gridCol w:w="3120"/>
      </w:tblGrid>
      <w:tr>
        <w:tc>
          <w:tcPr>
            <w:tcW w:type="dxa" w:w="2664"/>
            <w:shd w:val="clear" w:color="auto" w:fill="1A1A1A"/>
            <w:tcMar>
              <w:top w:w="40" w:type="dxa"/>
              <w:bottom w:w="40" w:type="dxa"/>
              <w:left w:w="60" w:type="dxa"/>
              <w:right w:w="60" w:type="dxa"/>
            </w:tcMar>
          </w:tcPr>
          <w:p>
            <w:r>
              <w:rPr>
                <w:rFonts w:ascii="Sora" w:hAnsi="Sora"/>
                <w:b/>
                <w:caps/>
                <w:color w:val="FFFFFF"/>
                <w:sz w:val="18"/>
              </w:rPr>
              <w:t>Dimension</w:t>
            </w:r>
          </w:p>
        </w:tc>
        <w:tc>
          <w:tcPr>
            <w:tcW w:type="dxa" w:w="792"/>
            <w:shd w:val="clear" w:color="auto" w:fill="1A1A1A"/>
            <w:tcMar>
              <w:top w:w="40" w:type="dxa"/>
              <w:bottom w:w="40" w:type="dxa"/>
              <w:left w:w="60" w:type="dxa"/>
              <w:right w:w="60" w:type="dxa"/>
            </w:tcMar>
          </w:tcPr>
          <w:p>
            <w:r>
              <w:rPr>
                <w:rFonts w:ascii="Sora" w:hAnsi="Sora"/>
                <w:b/>
                <w:caps/>
                <w:color w:val="FFFFFF"/>
                <w:sz w:val="18"/>
              </w:rPr>
              <w:t>Score</w:t>
            </w:r>
          </w:p>
        </w:tc>
        <w:tc>
          <w:tcPr>
            <w:tcW w:type="dxa" w:w="5904"/>
            <w:shd w:val="clear" w:color="auto" w:fill="1A1A1A"/>
            <w:tcMar>
              <w:top w:w="40" w:type="dxa"/>
              <w:bottom w:w="40" w:type="dxa"/>
              <w:left w:w="60" w:type="dxa"/>
              <w:right w:w="60" w:type="dxa"/>
            </w:tcMar>
          </w:tcPr>
          <w:p>
            <w:r>
              <w:rPr>
                <w:rFonts w:ascii="Sora" w:hAnsi="Sora"/>
                <w:b/>
                <w:caps/>
                <w:color w:val="FFFFFF"/>
                <w:sz w:val="18"/>
              </w:rPr>
              <w:t>Evidence</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Lead / Round Dynamics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Higharc announced a $95M Series C led by Insight Partners, a Tier 1 fund on the rubric’s list, with participation from Wellington Management, Fifth Wall, Spark Capital, Lux Capital, SE Ventures and others.[4][5][8] Insight appears to be a NEW lead at Series C (earlier rounds were led by other firms per historical coverage), aligning with the Tier 1 new-money Series B+ thesis, but co-invest access for ID8 is not yet confirmed — hence 3, not 4.</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Founder / Team Quality</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Higharc’s founders include CEO Marc Breiner and co-founders from architecture, construction-tech and software backgrounds; Breiner previously worked in product/strategy roles in software and has been a visible voice on digitizing homebuilding workflows in industry press and conferences.[4][5][8] The team has attracted a strong investor base (Insight, Spark, Lux, Fifth Wall, SE Ventures, Simpson Strong-Tie, Suffolk Technologies, MetaProp), suggesting credible recruiting and operator/advisor quality, but there is no evidence of prior $100M+ ARR scale or major exits — so this fits the ‘first-time founder with strong pedigree/domain’ anchor rather than a 4.</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Fundamentals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2</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The Series C size ($95M) and total funding ($170M+) imply meaningful traction with mid-market and large production homebuilders: Higharc’s AI-native platform replaces legacy CAD, plan management, buyer configuration and estimation tools for builders that construct 800,000+ homes annually in the US, indicating real deployment and a defensible workflow moat in a large market.[1][4][5][8] However, key metrics such as ARR, YoY growth, NDR, LTV/CAC and burn are [NOT PUBLIC]; without disclosed revenue or margin data, Fundamentals are capped at 2 per the rubric’s missing-data rule.</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Return Potential</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Higharc targets the production homebuilding segment (mid-market and large builders doing 800k+ homes per year in the US) with an AI platform that spans design, estimating, sales and construction documentation, and is now expanding into the materials supply chain via partnerships like US LBM for AI-based estimating and material takeoff.[1][3][5][8] Given the large TAM, workflow replacement of multiple legacy tools, and extension into supplier workflows, a 3–6x MOIC with 20–30% IRR appears a reasonable base-case for a disciplined entry at Series C; upside to 6x+ exists but depends on continued adoption and execution, so this anchors at 3 rather than a 4.</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AI Score</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4</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Higharc describes itself as a “homebuilding AI company for the full design-to-construction lifecycle,” using specialized spatial AI models to automate complex workflows across building design, 3D modeling, cost estimating, sales and construction documentation.[4][5][6][8] Its AutoTranslate AI can ingest 2D floor plans, create 3D spatial models and generate precise material takeoffs aligned with supplier catalogs (e.g., US LBM), indicating a proprietary spatial-data representation and domain-specific AI that is core to the moat and not trivially replicable as a generic LLM plugin — this fits the pure-play/structural AI moat anchor.</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Terms</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2</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Public coverage only discloses that Higharc raised a $95M Series C led by Insight Partners with participation from Wellington, Fifth Wall, Spark, Lux, SE Ventures and others, but does not reveal specific SPV/coinvest economics, carry, upfront fees or information rights for follow-on investors like ID8.[4][5][8] Given terms are [NOT PUBLIC], the score lands at 2 by default (data-missing anchor) rather than assuming standard 0/0/10 or elevated carry, and there is no evidence of disqualifying recurring management fees or extreme carry.</w:t>
            </w:r>
          </w:p>
        </w:tc>
      </w:tr>
    </w:tbl>
    <w:p>
      <w:pPr>
        <w:spacing w:after="160"/>
      </w:pPr>
    </w:p>
    <w:p>
      <w:pPr>
        <w:spacing w:after="120"/>
        <w:pBdr>
          <w:bottom w:val="single" w:sz="6" w:color="1A1A1A" w:space="4"/>
        </w:pBdr>
      </w:pPr>
      <w:r>
        <w:rPr>
          <w:rFonts w:ascii="Roboto Serif" w:hAnsi="Roboto Serif"/>
          <w:b/>
          <w:caps w:val="0"/>
          <w:color w:val="1A1A1A"/>
          <w:sz w:val="24"/>
        </w:rPr>
        <w:t>RATIONALE</w:t>
      </w:r>
    </w:p>
    <w:p>
      <w:pPr>
        <w:spacing w:before="120" w:after="120"/>
        <w:jc w:val="both"/>
      </w:pPr>
      <w:r>
        <w:rPr>
          <w:rFonts w:ascii="Sora" w:hAnsi="Sora"/>
          <w:b w:val="0"/>
          <w:caps w:val="0"/>
          <w:color w:val="1A1A1A"/>
          <w:sz w:val="21"/>
        </w:rPr>
        <w:t>Higharc is a Durham, NC–based homebuilding AI company that just raised a $95M Series C led by Tier 1 investor Insight Partners, clearly within ID8’s North America and Series B+ mandate.[1][4][6] The deal aligns strongly with ID8’s thesis: a new-money Tier 1 lead at Series C, and a product whose moat is genuinely AI-driven via proprietary spatial AI and floor-plan intelligence spanning design, estimating, sales and construction documentation, now extending into the materials supply chain through partners like US LBM.[3][4][5][8] Fundamentals and terms are under-disclosed, so this pass rests on market/qualitative signals and investor quality rather than hard metrics, pulling the overall fit down slightly but without triggering any hard auto-pass conditions.</w:t>
      </w:r>
    </w:p>
    <w:p>
      <w:pPr>
        <w:spacing w:before="80"/>
      </w:pPr>
      <w:r>
        <w:rPr>
          <w:rFonts w:ascii="Sora" w:hAnsi="Sora"/>
          <w:b w:val="0"/>
          <w:caps w:val="0"/>
          <w:color w:val="828282"/>
          <w:sz w:val="18"/>
        </w:rPr>
        <w:t>Confidence: medium</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ra" w:hAnsi="Sora"/>
        <w:b w:val="0"/>
        <w:caps w:val="0"/>
        <w:color w:val="828282"/>
        <w:sz w:val="17"/>
      </w:rPr>
      <w:t xml:space="preserve">Page </w:t>
    </w:r>
    <w:fldChar w:fldCharType="begin"/>
    <w:instrText xml:space="preserve"> PAGE </w:instrText>
    <w:fldChar w:fldCharType="end"/>
    <w:r>
      <w:rPr>
        <w:rFonts w:ascii="Sora" w:hAnsi="Sora"/>
        <w:b w:val="0"/>
        <w:caps w:val="0"/>
        <w:color w:val="828282"/>
        <w:sz w:val="17"/>
      </w:rPr>
      <w:t xml:space="preserve"> of </w:t>
    </w:r>
    <w:fldChar w:fldCharType="begin"/>
    <w:instrText xml:space="preserve"> NUMPAGES </w:instrText>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440"/>
      <w:gridCol w:w="7920"/>
    </w:tblGrid>
    <w:tr>
      <w:tc>
        <w:tcPr>
          <w:tcW w:type="dxa" w:w="4680"/>
          <w:tcBorders>
            <w:top w:val="nil"/>
            <w:left w:val="nil"/>
            <w:right w:val="nil"/>
            <w:bottom w:val="single" w:sz="4" w:color="1A1A1A"/>
          </w:tcBorders>
        </w:tcPr>
        <w:p>
          <w:r>
            <w:drawing>
              <wp:inline xmlns:a="http://schemas.openxmlformats.org/drawingml/2006/main" xmlns:pic="http://schemas.openxmlformats.org/drawingml/2006/picture">
                <wp:extent cx="594360" cy="58725"/>
                <wp:docPr id="1" name="Picture 1"/>
                <wp:cNvGraphicFramePr>
                  <a:graphicFrameLocks noChangeAspect="1"/>
                </wp:cNvGraphicFramePr>
                <a:graphic>
                  <a:graphicData uri="http://schemas.openxmlformats.org/drawingml/2006/picture">
                    <pic:pic>
                      <pic:nvPicPr>
                        <pic:cNvPr id="0" name="id8_charcoal.png"/>
                        <pic:cNvPicPr/>
                      </pic:nvPicPr>
                      <pic:blipFill>
                        <a:blip r:embed="rId1"/>
                        <a:stretch>
                          <a:fillRect/>
                        </a:stretch>
                      </pic:blipFill>
                      <pic:spPr>
                        <a:xfrm>
                          <a:off x="0" y="0"/>
                          <a:ext cx="594360" cy="58725"/>
                        </a:xfrm>
                        <a:prstGeom prst="rect"/>
                      </pic:spPr>
                    </pic:pic>
                  </a:graphicData>
                </a:graphic>
              </wp:inline>
            </w:drawing>
          </w:r>
        </w:p>
      </w:tc>
      <w:tc>
        <w:tcPr>
          <w:tcW w:type="dxa" w:w="4680"/>
          <w:tcBorders>
            <w:top w:val="nil"/>
            <w:left w:val="nil"/>
            <w:right w:val="nil"/>
            <w:bottom w:val="single" w:sz="4" w:color="1A1A1A"/>
          </w:tcBorders>
        </w:tcPr>
        <w:p>
          <w:pPr>
            <w:spacing w:before="80"/>
            <w:jc w:val="right"/>
          </w:pPr>
          <w:r>
            <w:rPr>
              <w:rFonts w:ascii="Sora" w:hAnsi="Sora"/>
              <w:b w:val="0"/>
              <w:caps/>
              <w:color w:val="828282"/>
              <w:sz w:val="16"/>
            </w:rPr>
            <w:t>DEAL SCREEN  ·  ID8 INVESTMENTS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ra" w:hAnsi="Sor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