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Roboto Serif" w:hAnsi="Roboto Serif"/>
          <w:b/>
          <w:caps w:val="0"/>
          <w:color w:val="1A1A1A"/>
          <w:sz w:val="44"/>
        </w:rPr>
        <w:t>Pocket (Business/Productivity Software)</w:t>
      </w:r>
    </w:p>
    <w:p>
      <w:pPr>
        <w:spacing w:after="40"/>
      </w:pPr>
      <w:r>
        <w:rPr>
          <w:rFonts w:ascii="Sora" w:hAnsi="Sora"/>
          <w:b w:val="0"/>
          <w:caps w:val="0"/>
          <w:color w:val="828282"/>
          <w:sz w:val="21"/>
        </w:rPr>
        <w:t>heypocket.com   ·   Newark, DE   ·   Accel(Cecilia Wang)</w:t>
      </w:r>
    </w:p>
    <w:p>
      <w:pPr>
        <w:spacing w:after="200"/>
      </w:pPr>
      <w:r>
        <w:rPr>
          <w:rFonts w:ascii="Sora" w:hAnsi="Sora"/>
          <w:b w:val="0"/>
          <w:caps w:val="0"/>
          <w:color w:val="828282"/>
          <w:sz w:val="18"/>
        </w:rPr>
        <w:t>Screened 2026-07-06</w:t>
      </w:r>
    </w:p>
    <w:p>
      <w:pPr>
        <w:spacing w:after="120"/>
        <w:pBdr>
          <w:bottom w:val="single" w:sz="6" w:color="1A1A1A" w:space="4"/>
        </w:pBdr>
      </w:pPr>
      <w:r>
        <w:rPr>
          <w:rFonts w:ascii="Roboto Serif" w:hAnsi="Roboto Serif"/>
          <w:b/>
          <w:caps w:val="0"/>
          <w:color w:val="1A1A1A"/>
          <w:sz w:val="28"/>
        </w:rPr>
        <w:t>FIT ASSESSMENT</w:t>
      </w:r>
    </w:p>
    <w:p>
      <w:pPr>
        <w:spacing w:before="120" w:after="240"/>
      </w:pPr>
      <w:r>
        <w:rPr>
          <w:rFonts w:ascii="Roboto Serif" w:hAnsi="Roboto Serif"/>
          <w:b/>
          <w:caps w:val="0"/>
          <w:color w:val="1A1A1A"/>
          <w:sz w:val="32"/>
        </w:rPr>
        <w:t>3.1 / 4.0</w:t>
      </w:r>
      <w:r>
        <w:rPr>
          <w:rFonts w:ascii="Sora" w:hAnsi="Sora"/>
          <w:b w:val="0"/>
          <w:caps w:val="0"/>
          <w:color w:val="828282"/>
          <w:sz w:val="21"/>
        </w:rPr>
        <w:t xml:space="preserve">   (raw 3.0)</w:t>
      </w:r>
      <w:r>
        <w:rPr>
          <w:rFonts w:ascii="Sora" w:hAnsi="Sora"/>
          <w:b w:val="0"/>
          <w:caps w:val="0"/>
          <w:color w:val="828282"/>
          <w:sz w:val="21"/>
        </w:rPr>
        <w:t xml:space="preserve">   —   WATCH LIST — OUTSIDE MANDATE (STAGE)</w:t>
      </w:r>
    </w:p>
    <w:tbl>
      <w:tblPr>
        <w:tblW w:type="auto" w:w="0"/>
        <w:tblLayout w:type="fixed"/>
        <w:tblLook w:firstColumn="1" w:firstRow="1" w:lastColumn="0" w:lastRow="0" w:noHBand="0" w:noVBand="1" w:val="04A0"/>
      </w:tblPr>
      <w:tblGrid>
        <w:gridCol w:w="3120"/>
        <w:gridCol w:w="3120"/>
        <w:gridCol w:w="3120"/>
      </w:tblGrid>
      <w:tr>
        <w:tc>
          <w:tcPr>
            <w:tcW w:type="dxa" w:w="2664"/>
            <w:shd w:val="clear" w:color="auto" w:fill="1A1A1A"/>
            <w:tcMar>
              <w:top w:w="40" w:type="dxa"/>
              <w:bottom w:w="40" w:type="dxa"/>
              <w:left w:w="60" w:type="dxa"/>
              <w:right w:w="60" w:type="dxa"/>
            </w:tcMar>
          </w:tcPr>
          <w:p>
            <w:r>
              <w:rPr>
                <w:rFonts w:ascii="Sora" w:hAnsi="Sora"/>
                <w:b/>
                <w:caps/>
                <w:color w:val="FFFFFF"/>
                <w:sz w:val="18"/>
              </w:rPr>
              <w:t>Dimension</w:t>
            </w:r>
          </w:p>
        </w:tc>
        <w:tc>
          <w:tcPr>
            <w:tcW w:type="dxa" w:w="792"/>
            <w:shd w:val="clear" w:color="auto" w:fill="1A1A1A"/>
            <w:tcMar>
              <w:top w:w="40" w:type="dxa"/>
              <w:bottom w:w="40" w:type="dxa"/>
              <w:left w:w="60" w:type="dxa"/>
              <w:right w:w="60" w:type="dxa"/>
            </w:tcMar>
          </w:tcPr>
          <w:p>
            <w:r>
              <w:rPr>
                <w:rFonts w:ascii="Sora" w:hAnsi="Sora"/>
                <w:b/>
                <w:caps/>
                <w:color w:val="FFFFFF"/>
                <w:sz w:val="18"/>
              </w:rPr>
              <w:t>Score</w:t>
            </w:r>
          </w:p>
        </w:tc>
        <w:tc>
          <w:tcPr>
            <w:tcW w:type="dxa" w:w="5904"/>
            <w:shd w:val="clear" w:color="auto" w:fill="1A1A1A"/>
            <w:tcMar>
              <w:top w:w="40" w:type="dxa"/>
              <w:bottom w:w="40" w:type="dxa"/>
              <w:left w:w="60" w:type="dxa"/>
              <w:right w:w="60" w:type="dxa"/>
            </w:tcMar>
          </w:tcPr>
          <w:p>
            <w:r>
              <w:rPr>
                <w:rFonts w:ascii="Sora" w:hAnsi="Sora"/>
                <w:b/>
                <w:caps/>
                <w:color w:val="FFFFFF"/>
                <w:sz w:val="18"/>
              </w:rPr>
              <w:t>Evidence</w:t>
            </w:r>
          </w:p>
        </w:tc>
      </w:tr>
      <w:tr>
        <w:tc>
          <w:tcPr>
            <w:tcW w:type="dxa" w:w="266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Lead / Round Dynamics</w:t>
            </w:r>
          </w:p>
        </w:tc>
        <w:tc>
          <w:tcPr>
            <w:tcW w:type="dxa" w:w="792"/>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2</w:t>
            </w:r>
            <w:r>
              <w:rPr>
                <w:rFonts w:ascii="Sora" w:hAnsi="Sora"/>
                <w:b w:val="0"/>
                <w:caps w:val="0"/>
                <w:color w:val="828282"/>
                <w:sz w:val="17"/>
              </w:rPr>
              <w:t xml:space="preserve"> / 4</w:t>
            </w:r>
          </w:p>
        </w:tc>
        <w:tc>
          <w:tcPr>
            <w:tcW w:type="dxa" w:w="590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Pocket raised an $11M round led by Accel, with participation from Y Combinator and operator-investors; this is described across multiple sources as a seed/early-stage round rather than Series B+.[1][2][4][7][8] Accel is a Tier 1+ firm, but because the current round is seed and not Series B or later, the stage caps this dimension at 2 per rubric; co-invest access is not discussed publicly.[2][8]</w:t>
            </w:r>
          </w:p>
        </w:tc>
      </w:tr>
      <w:tr>
        <w:tc>
          <w:tcPr>
            <w:tcW w:type="dxa" w:w="266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Founder / Team Quality</w:t>
            </w:r>
          </w:p>
        </w:tc>
        <w:tc>
          <w:tcPr>
            <w:tcW w:type="dxa" w:w="792"/>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3</w:t>
            </w:r>
            <w:r>
              <w:rPr>
                <w:rFonts w:ascii="Sora" w:hAnsi="Sora"/>
                <w:b w:val="0"/>
                <w:caps w:val="0"/>
                <w:color w:val="828282"/>
                <w:sz w:val="17"/>
              </w:rPr>
              <w:t xml:space="preserve"> / 4</w:t>
            </w:r>
          </w:p>
        </w:tc>
        <w:tc>
          <w:tcPr>
            <w:tcW w:type="dxa" w:w="590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Pocket was founded by Gabriel Dymowski and Akshay Narisetti and launched in October 2025, with Pocket shipping over 10,000 devices on its first day and reaching rapid traction thereafter, suggesting strong execution capability.[2] The round includes notable operator-investors such as Guillermo Rauch (Vercel), Mati Staniszewski (ElevenLabs), and Kaz Nejatian (Opendoor/former Shopify COO), which is a positive signal on network quality and perceived founder quality.[1][2][4][5][7] Detailed prior-exit history or deep public founder bios are not yet visible, so this fits the anchor for capable first-time founders with elite operator backing rather than fully proven serial founders.</w:t>
            </w:r>
          </w:p>
        </w:tc>
      </w:tr>
      <w:tr>
        <w:tc>
          <w:tcPr>
            <w:tcW w:type="dxa" w:w="266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Fundamentals</w:t>
            </w:r>
          </w:p>
        </w:tc>
        <w:tc>
          <w:tcPr>
            <w:tcW w:type="dxa" w:w="792"/>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4</w:t>
            </w:r>
            <w:r>
              <w:rPr>
                <w:rFonts w:ascii="Sora" w:hAnsi="Sora"/>
                <w:b w:val="0"/>
                <w:caps w:val="0"/>
                <w:color w:val="828282"/>
                <w:sz w:val="17"/>
              </w:rPr>
              <w:t xml:space="preserve"> / 4</w:t>
            </w:r>
          </w:p>
        </w:tc>
        <w:tc>
          <w:tcPr>
            <w:tcW w:type="dxa" w:w="590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Pocket reports an annualised revenue run rate of $27M and shipment of 35,000 units within roughly a year of launch, which is unusually strong for an AI hardware startup.[2][4] The company cites monthly growth topping 50% in some months, indicating &gt;100%+ annualized growth; exact NDR, LTV/CAC, and burn metrics are not publicly disclosed, but revenue scale and growth are clearly above the rubric's top anchor thresholds.[2][3][4] Valuation for the $11M seed round is not disclosed, but fundamentals at current scale appear strong vs. nascent AI hardware comps.[2][4]</w:t>
            </w:r>
          </w:p>
        </w:tc>
      </w:tr>
      <w:tr>
        <w:tc>
          <w:tcPr>
            <w:tcW w:type="dxa" w:w="266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Return Potential</w:t>
            </w:r>
          </w:p>
        </w:tc>
        <w:tc>
          <w:tcPr>
            <w:tcW w:type="dxa" w:w="792"/>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3</w:t>
            </w:r>
            <w:r>
              <w:rPr>
                <w:rFonts w:ascii="Sora" w:hAnsi="Sora"/>
                <w:b w:val="0"/>
                <w:caps w:val="0"/>
                <w:color w:val="828282"/>
                <w:sz w:val="17"/>
              </w:rPr>
              <w:t xml:space="preserve"> / 4</w:t>
            </w:r>
          </w:p>
        </w:tc>
        <w:tc>
          <w:tcPr>
            <w:tcW w:type="dxa" w:w="590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Pocket has achieved $27M ARR-equivalent shortly after launch with 35,000 devices shipped and very fast growth, suggesting a large potential market for AI-native personal note-taking and meeting capture hardware.[2][3][4] However, as a hardware-centric business, future rounds will likely be needed to finance manufacturing, distribution, and software platform build-out, and public information does not provide valuation details for this seed round, making it difficult to justify a 6x+ MOIC as base case; TAM appears meaningful but competition from software-only and platform-native tools could compress margins.[2][3] Given strong traction but hardware and competitive risk, the deal aligns more with a 3–6x / 20–30% IRR base-case profile than a clearly 6x+ base case at this entry.</w:t>
            </w:r>
          </w:p>
        </w:tc>
      </w:tr>
      <w:tr>
        <w:tc>
          <w:tcPr>
            <w:tcW w:type="dxa" w:w="266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AI Score</w:t>
            </w:r>
          </w:p>
        </w:tc>
        <w:tc>
          <w:tcPr>
            <w:tcW w:type="dxa" w:w="792"/>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4</w:t>
            </w:r>
            <w:r>
              <w:rPr>
                <w:rFonts w:ascii="Sora" w:hAnsi="Sora"/>
                <w:b w:val="0"/>
                <w:caps w:val="0"/>
                <w:color w:val="828282"/>
                <w:sz w:val="17"/>
              </w:rPr>
              <w:t xml:space="preserve"> / 4</w:t>
            </w:r>
          </w:p>
        </w:tc>
        <w:tc>
          <w:tcPr>
            <w:tcW w:type="dxa" w:w="590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Pocket’s product is a dedicated AI-enabled device that records conversations (meetings, client calls, one-on-ones) and automatically produces summaries, speaker-attributed notes, draft follow-up emails, and trackable action items, positioning AI as the core of the user value proposition.[1][2][3][4] The company frames itself explicitly as an AI hardware platform with a device built around capturing and organizing conversational data, creating a proprietary data flywheel tied to personal and professional interactions that is difficult for general-purpose models to replicate in the same always-on, in-person context.[1][2][4] This fits the rubric’s definition of pure-play AI with architecture and proprietary data as the core moat, rather than a mere feature wrapper.</w:t>
            </w:r>
          </w:p>
        </w:tc>
      </w:tr>
      <w:tr>
        <w:tc>
          <w:tcPr>
            <w:tcW w:type="dxa" w:w="266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Terms</w:t>
            </w:r>
          </w:p>
        </w:tc>
        <w:tc>
          <w:tcPr>
            <w:tcW w:type="dxa" w:w="792"/>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2</w:t>
            </w:r>
            <w:r>
              <w:rPr>
                <w:rFonts w:ascii="Sora" w:hAnsi="Sora"/>
                <w:b w:val="0"/>
                <w:caps w:val="0"/>
                <w:color w:val="828282"/>
                <w:sz w:val="17"/>
              </w:rPr>
              <w:t xml:space="preserve"> / 4</w:t>
            </w:r>
          </w:p>
        </w:tc>
        <w:tc>
          <w:tcPr>
            <w:tcW w:type="dxa" w:w="590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Public coverage only states that Pocket closed an $11M funding round led by Accel with participation from Y Combinator and prominent operators; it does not disclose SPV vs. direct co-invest, carry, fees, or information rights.[1][2][4][7][8] In the absence of any clear indication of recurring management fees or outlier carry, rubric guidance is to avoid assuming best-in-class, so this dimension is conservatively scored at 2 with terms effectively [NOT PUBLIC] from ID8’s perspective at this stage.</w:t>
            </w:r>
          </w:p>
        </w:tc>
      </w:tr>
    </w:tbl>
    <w:p>
      <w:pPr>
        <w:spacing w:after="160"/>
      </w:pPr>
    </w:p>
    <w:p>
      <w:pPr>
        <w:spacing w:after="120"/>
        <w:pBdr>
          <w:bottom w:val="single" w:sz="6" w:color="1A1A1A" w:space="4"/>
        </w:pBdr>
      </w:pPr>
      <w:r>
        <w:rPr>
          <w:rFonts w:ascii="Roboto Serif" w:hAnsi="Roboto Serif"/>
          <w:b/>
          <w:caps w:val="0"/>
          <w:color w:val="1A1A1A"/>
          <w:sz w:val="24"/>
        </w:rPr>
        <w:t>RATIONALE</w:t>
      </w:r>
    </w:p>
    <w:p>
      <w:pPr>
        <w:spacing w:before="120" w:after="120"/>
        <w:jc w:val="both"/>
      </w:pPr>
      <w:r>
        <w:rPr>
          <w:rFonts w:ascii="Sora" w:hAnsi="Sora"/>
          <w:b w:val="0"/>
          <w:caps w:val="0"/>
          <w:color w:val="1A1A1A"/>
          <w:sz w:val="21"/>
        </w:rPr>
        <w:t>Pocket is an AI hardware company building a dedicated personal assistant device with very strong early fundamentals (reported ~$27M annualised revenue and rapid unit growth) and a clearly AI-centric moat, supported by a seed round led by Tier 1+ investor Accel with YC and top-tier operator participation.[1][2][4] The deal aligns well with ID8’s AI thesis and Tier 1 lead preference, but it breaks the mandate on stage: this is a seed/early round, not Series B+, and there is no published evidence yet on terms or later-stage access, so it is a strong candidate for watch-listing rather than immediate deep research. Overall, the company looks like a high-upside, AI-native hardware play where fundamentals and AI score are strong, but return modeling and terms remain preliminary from public data alone.</w:t>
      </w:r>
    </w:p>
    <w:p>
      <w:pPr>
        <w:spacing w:before="80"/>
      </w:pPr>
      <w:r>
        <w:rPr>
          <w:rFonts w:ascii="Sora" w:hAnsi="Sora"/>
          <w:b w:val="0"/>
          <w:caps w:val="0"/>
          <w:color w:val="828282"/>
          <w:sz w:val="18"/>
        </w:rPr>
        <w:t>Confidence: medium</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b w:val="0"/>
        <w:caps w:val="0"/>
        <w:color w:val="828282"/>
        <w:sz w:val="17"/>
      </w:rPr>
      <w:t xml:space="preserve">Page </w:t>
    </w:r>
    <w:fldChar w:fldCharType="begin"/>
    <w:instrText xml:space="preserve"> PAGE </w:instrText>
    <w:fldChar w:fldCharType="end"/>
    <w:r>
      <w:rPr>
        <w:rFonts w:ascii="Sora" w:hAnsi="Sora"/>
        <w:b w:val="0"/>
        <w:caps w:val="0"/>
        <w:color w:val="828282"/>
        <w:sz w:val="17"/>
      </w:rPr>
      <w:t xml:space="preserve"> of </w:t>
    </w:r>
    <w:fldChar w:fldCharType="begin"/>
    <w:instrText xml:space="preserve"> NUMPAGES </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1440"/>
      <w:gridCol w:w="7920"/>
    </w:tblGrid>
    <w:tr>
      <w:tc>
        <w:tcPr>
          <w:tcW w:type="dxa" w:w="4680"/>
          <w:tcBorders>
            <w:top w:val="nil"/>
            <w:left w:val="nil"/>
            <w:right w:val="nil"/>
            <w:bottom w:val="single" w:sz="4" w:color="1A1A1A"/>
          </w:tcBorders>
        </w:tcPr>
        <w:p>
          <w:r>
            <w:drawing>
              <wp:inline xmlns:a="http://schemas.openxmlformats.org/drawingml/2006/main" xmlns:pic="http://schemas.openxmlformats.org/drawingml/2006/picture">
                <wp:extent cx="594360" cy="58725"/>
                <wp:docPr id="1" name="Picture 1"/>
                <wp:cNvGraphicFramePr>
                  <a:graphicFrameLocks noChangeAspect="1"/>
                </wp:cNvGraphicFramePr>
                <a:graphic>
                  <a:graphicData uri="http://schemas.openxmlformats.org/drawingml/2006/picture">
                    <pic:pic>
                      <pic:nvPicPr>
                        <pic:cNvPr id="0" name="id8_charcoal.png"/>
                        <pic:cNvPicPr/>
                      </pic:nvPicPr>
                      <pic:blipFill>
                        <a:blip r:embed="rId1"/>
                        <a:stretch>
                          <a:fillRect/>
                        </a:stretch>
                      </pic:blipFill>
                      <pic:spPr>
                        <a:xfrm>
                          <a:off x="0" y="0"/>
                          <a:ext cx="594360" cy="58725"/>
                        </a:xfrm>
                        <a:prstGeom prst="rect"/>
                      </pic:spPr>
                    </pic:pic>
                  </a:graphicData>
                </a:graphic>
              </wp:inline>
            </w:drawing>
          </w:r>
        </w:p>
      </w:tc>
      <w:tc>
        <w:tcPr>
          <w:tcW w:type="dxa" w:w="4680"/>
          <w:tcBorders>
            <w:top w:val="nil"/>
            <w:left w:val="nil"/>
            <w:right w:val="nil"/>
            <w:bottom w:val="single" w:sz="4" w:color="1A1A1A"/>
          </w:tcBorders>
        </w:tcPr>
        <w:p>
          <w:pPr>
            <w:spacing w:before="80"/>
            <w:jc w:val="right"/>
          </w:pPr>
          <w:r>
            <w:rPr>
              <w:rFonts w:ascii="Sora" w:hAnsi="Sora"/>
              <w:b w:val="0"/>
              <w:caps/>
              <w:color w:val="828282"/>
              <w:sz w:val="16"/>
            </w:rPr>
            <w:t>DEAL SCREEN  ·  ID8 INVESTMENTS  ·  CONFIDENTIAL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ra" w:hAnsi="Sor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