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Atoms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atoms.co   ·   Los Angeles, CA   ·   Andreessen Horowitz(Benjamin Horowitz)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2.3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2.3)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PASS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New-money Tier 1 lead at growth stage with strong partner conviction, but limited signal on prior-investor follow-on or domain-strategic validation.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Physical-automation platform appears genuinely AI-driven, with proprietary robotics stack and data feedback loops, though detailed model architecture and retraining cadence remain undisclosed.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Deal terms are undisclosed; absent any adverse public signal, co-invest structure and economics are assumed standard and acceptable.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Fundamentals show enormous TAM and structural moat potential, but key financial metrics, capital efficiency, customer diversification, and valuation multiples remain undisclosed at this stage.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Return potential could be strong if Atoms becomes a core industrial-AI platform, but unknown entry valuation and long buildout timeline temper conviction.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Atoms aligns with ID8’s thesis: a new-money Tier 1 lead and a genuinely AI-centric industrial automation moat. Data gaps on fundamentals and valuation mean the fit looks promising but requires deeper diligence.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