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Ollin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ollin.bio   ·   Series B   ·   Austin, TX   ·   ARCH Venture Partners, TCG Crossover Management(Cariad Chester)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2026-06-29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Series B round, oversubscribed $330M, co-led by ARCH Venture Partners and TCGX, with participation from T. Rowe Price, Blackstone, RA Capital, Monograph and others, forming a top-tier syndicate.[1][3][4][6]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Ollin Biosciences is a clinical-stage biotech focused on retinal/vision-threatening eye diseases and development of drug candidate OLN324; no evidence of AI-based products or core AI technology in its value proposition.[1][3][4][5]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Company is described as a clinical-stage biotech preparing global Phase 3 trials of OLN324; no disclosures of revenue, growth, unit economics (NDR, LTV/CAC), or burn, and as a typical pre-commercial biotech it is unlikely to have material revenue.[1][3][5][6]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Oversubscribed $330M Series B with multiple top-tier public crossover and biotech investors backing late-stage (Phase 3) development of a potential competitor to Roche’s Vabysmo in DME and wet AMD, indicating &gt;3x return potential but with substantial clinical and regulatory risk of capital loss typical of biotech.[1][3][4][6]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Public information only notes the round size, stage, and lead investors; there is no visibility into SPV economics, carry/fees, time horizon, or data access for ID8, so terms cannot be assessed and must be conservatively scored low.[1][3][6]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The deal is in scope on stage (Series B) and geography (Austin, TX, USA) and features a large, oversubscribed round co-led by top-tier crossover/venture investors with a strong syndicate, aligning directionally with ID8’s preference for Tier 1-led Series B rounds.[1][3][4] However, ARCH appears to be a founding/inside investor co-leading alongside new-money TCGX, and the company is a non-AI, pre-commercial biotech with limited visible operating fundamentals, so it only partially aligns with the core thesis of new-money Tier 1 leads into growth-stage businesses with clearer economic traction.[3][4] Overall fit is driven by strong round dynamics and perceived return potential, but lack of AI, opaque fundamentals, and unknown SPV terms constrain the score.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