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Ollin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ollin.bio   ·   Series B   ·   Austin, TX   ·   ARCH Venture Partners, TCG Crossover Management(Cariad Chester)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2026-06-29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2.2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BELOW THRESHOLD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The round is Series B and co-led by ARCH Venture Partners and TCGX, with reporting that TCGX is a new investor while ARCH is a founding/inside investor, so this is not a clean new-money-only lead and fits the near-top-tier new-money/co-lead band rather than the top anchor. [3][4][5]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1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Ollin Biosciences is described as a clinical-stage ophthalmology/biotech company advancing therapies for vision-threatening diseases; no evidence found that AI is part of the product or core value proposition. [2][3][6]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The company disclosed a $330 million Series B to advance global Phase 3 development, which signals strong financing support, but the results do not provide revenue, growth, NDR, LTV/CAC, or burn metrics needed to reach the higher rubric bars. [3][4][8]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This is a large, oversubscribed Series B for a clinical-stage biotech with late-stage ophthalmology assets, which supports meaningful upside if the program succeeds, but the public evidence does not justify assuming the &gt;7x / low-loss profile needed for a 4. [2][3][6]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No evidence found of punitive fees, SPV layering, or unusually short time horizon; the round was a standard primary Series B financing, and no adverse terms were reported in the available sources. [3][4][8]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 xml:space="preserve">Ollin is in-scope on both gate checks: it is a Series B and is headquartered in Austin, Texas. The deal aligns with ID8's thesis on round quality because ARCH and TCGX are top-tier investors and TCGX is the new-money co-lead, but it does not perfectly match the strongest version of the thesis because ARCH is an existing/founding investor rather than a purely first-time lead. 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