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Ollin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ollin.bio   ·   Series B   ·   Austin, TX   ·   ARCH Venture Partners, TCG Crossover Management(Cariad Chester)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2026-06-30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2.2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Ollin Biosciences raised an oversubscribed $330M Series B co-led by new investor TCGX and founding investor ARCH Venture Partners, with participation from a syndicate including T. Rowe Price, Blackstone, RA Capital, and others, which are generally viewed as top-tier public/late-stage crossover and life sciences investors.[1][3][4] This fits a top-tier syndicate with a near–top-tier new-money co-lead, but ARCH is an existing investor so the round is not a clean new-money top-tier-only lead, making Score 3 more appropriate than 4.[1][4][6]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Ollin is described as a clinical-stage biotech developing best-in-disease therapies for retinal/vision-threatening diseases with a lead biologic OLN324/IBI324 in DME and wet AMD, with no mention of AI, machine learning, or computational drug discovery as a core element of the platform or product.[1][3][4][5] No credible source indicates AI is a meaningful part of the value proposition, so this scores as no AI.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Public information characterizes Ollin as a clinical-stage biotech raising capital to fund Phase 3 trials of OLN324, with no disclosed revenue, unit economics, growth, or retention metrics, which is typical for a pre-commercial therapeutics company.[1][3][4][5] In the absence of any revenue or efficiency metrics and given heavy R&amp;D spend implied by late-stage trials, this maps to the rubric’s pre-revenue/high-burn profile and must be scored at the low end rather than assuming it meets the $25M+ revenue and efficiency thresholds.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The $330M Series B is intended to fund global Phase 3 programs for OLN324, a potential competitor to Roche’s Vabysmo in DME and wet AMD, both very large ophthalmology markets, implying multibillion-dollar peak sales potential if successful.[1][3][4][5] At a clinical-stage valuation, successful Phase 3 readouts and approval could plausibly support &gt;3x return but with meaningful binary clinical and regulatory risk, which aligns with the rubric’s &gt;3x potential with some risk of capital loss rather than the &gt;7x, low-risk profile.[4][6]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No sources discuss SPV structure, carry, or management fees for this opportunity; the deal is a standard primary Series B led by institutional VCs and crossover funds.[1][3][4] Given the absence of any indication of complex multi-layer SPVs or unusually high fees on ID8’s side, the default assumption for a co-invest SPV would be a standard 0/10 structure with a reasonable 5–10 year horizon, but because those terms are not explicitly documented, a mid-range Score 3 is more conservative than assigning the top score.[none found]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Ollin Biosciences is an Austin-based, clinical-stage ophthalmology biotech raising a large, oversubscribed $330M Series B to fund global Phase 3 trials of OLN324 in DME and wet AMD, with a strong crossover-heavy syndicate co-led by new investor TCGX and existing Tier 1 life-sciences investor ARCH.[1][3][4] The deal partially aligns with ID8’s thesis in that it is a sizable Series B with Tier 1 participation and a new-money top-tier(ish) co-lead, but it is not a pure new-money Tier 1-led round since ARCH is a founding/inside investor and co-lead, and the business is pre-revenue with high binary risk typical of late-stage biotech.[1][4][6] Overall fit is driven by attractive upside in large retinal markets and strong investors but constrained by lack of AI, limited financial fundamentals data, and the inside/outsider co-lead structure versus ID8’s ideal of a clean new-money Tier 1 lead.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