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Roboto Serif" w:cs="Roboto Serif" w:eastAsia="Roboto Serif" w:hAnsi="Roboto Serif"/>
          <w:b/>
          <w:bCs/>
          <w:color w:val="1A1A1A"/>
          <w:sz w:val="56"/>
          <w:szCs w:val="56"/>
        </w:rPr>
        <w:t xml:space="preserve">Workflows &amp; Platforms</w:t>
      </w:r>
    </w:p>
    <w:p>
      <w:pPr>
        <w:pBdr>
          <w:bottom w:val="single" w:color="1A1A1A" w:sz="6" w:space="10"/>
        </w:pBdr>
        <w:spacing w:after="200"/>
      </w:pPr>
      <w:r>
        <w:rPr>
          <w:rFonts w:ascii="Sora" w:cs="Sora" w:eastAsia="Sora" w:hAnsi="Sora"/>
          <w:i/>
          <w:iCs/>
          <w:color w:val="828282"/>
          <w:sz w:val="24"/>
          <w:szCs w:val="24"/>
        </w:rPr>
        <w:t xml:space="preserve">Technical brief — what's built, what's next, what it costs</w:t>
      </w:r>
    </w:p>
    <w:p>
      <w:pPr>
        <w:spacing w:after="360"/>
      </w:pPr>
      <w:r>
        <w:rPr>
          <w:rFonts w:ascii="Sora" w:cs="Sora" w:eastAsia="Sora" w:hAnsi="Sora"/>
          <w:color w:val="828282"/>
          <w:sz w:val="18"/>
          <w:szCs w:val="18"/>
        </w:rPr>
        <w:t xml:space="preserve">Prepared by Oscar Varas   ·   June 2026   ·   Internal, confidential</w:t>
      </w:r>
    </w:p>
    <w:p>
      <w:pPr>
        <w:spacing w:after="100"/>
      </w:pPr>
      <w:r>
        <w:rPr>
          <w:rFonts w:ascii="Roboto Serif" w:cs="Roboto Serif" w:eastAsia="Roboto Serif" w:hAnsi="Roboto Serif"/>
          <w:b/>
          <w:bCs/>
          <w:color w:val="1A1A1A"/>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Bdr>
          <w:bottom w:val="single" w:color="1A1A1A" w:sz="6" w:space="6"/>
        </w:pBdr>
        <w:spacing w:after="90" w:before="320"/>
      </w:pPr>
      <w:r>
        <w:rPr>
          <w:rFonts w:ascii="Sora" w:cs="Sora" w:eastAsia="Sora" w:hAnsi="Sora"/>
          <w:color w:val="828282"/>
          <w:sz w:val="20"/>
          <w:szCs w:val="20"/>
        </w:rPr>
        <w:t xml:space="preserve">01   </w:t>
      </w:r>
      <w:r>
        <w:rPr>
          <w:rFonts w:ascii="Roboto Serif" w:cs="Roboto Serif" w:eastAsia="Roboto Serif" w:hAnsi="Roboto Serif"/>
          <w:b/>
          <w:bCs/>
          <w:color w:val="1A1A1A"/>
          <w:sz w:val="28"/>
          <w:szCs w:val="28"/>
        </w:rPr>
        <w:t xml:space="preserve">System overview</w:t>
      </w:r>
    </w:p>
    <w:p>
      <w:pPr>
        <w:spacing w:after="80"/>
      </w:pPr>
      <w:r>
        <w:rPr>
          <w:rFonts w:ascii="Sora" w:cs="Sora" w:eastAsia="Sora" w:hAnsi="Sora"/>
          <w:color w:val="1A1A1A"/>
          <w:sz w:val="21"/>
          <w:szCs w:val="21"/>
        </w:rPr>
        <w:t xml:space="preserve">Three systems, each compounding the others. The pipeline is the CRM layer, Apollo Reach Out is the outbound layer, Deal Intelligence is the proprietary layer. All three run on ID8's own Google Cloud project — no SaaS vendor holds the data or the credentials.</w:t>
      </w:r>
    </w:p>
    <w:p>
      <w:pPr>
        <w:spacing w:after="0" w:before="40"/>
        <w:ind w:left="240"/>
      </w:pPr>
      <w:r>
        <w:rPr>
          <w:rFonts w:ascii="Roboto Mono, Consolas, Courier New" w:cs="Roboto Mono, Consolas, Courier New" w:eastAsia="Roboto Mono, Consolas, Courier New" w:hAnsi="Roboto Mono, Consolas, Courier New"/>
          <w:color w:val="3C3C3C"/>
          <w:sz w:val="19"/>
          <w:szCs w:val="19"/>
        </w:rPr>
        <w:t xml:space="preserve">Google Apps Script (free, runs on Google's servers)</w:t>
      </w:r>
    </w:p>
    <w:p>
      <w:pPr>
        <w:spacing w:after="0" w:before="0"/>
        <w:ind w:left="240"/>
      </w:pPr>
      <w:r>
        <w:rPr>
          <w:rFonts w:ascii="Roboto Mono, Consolas, Courier New" w:cs="Roboto Mono, Consolas, Courier New" w:eastAsia="Roboto Mono, Consolas, Courier New" w:hAnsi="Roboto Mono, Consolas, Courier New"/>
          <w:color w:val="3C3C3C"/>
          <w:sz w:val="19"/>
          <w:szCs w:val="19"/>
        </w:rPr>
        <w:t xml:space="preserve">  Drive watch (5 min) / Sheet onChange / daily cron</w:t>
      </w:r>
    </w:p>
    <w:p>
      <w:pPr>
        <w:spacing w:after="0" w:before="0"/>
        <w:ind w:left="240"/>
      </w:pPr>
      <w:r>
        <w:rPr>
          <w:rFonts w:ascii="Roboto Mono, Consolas, Courier New" w:cs="Roboto Mono, Consolas, Courier New" w:eastAsia="Roboto Mono, Consolas, Courier New" w:hAnsi="Roboto Mono, Consolas, Courier New"/>
          <w:color w:val="3C3C3C"/>
          <w:sz w:val="19"/>
          <w:szCs w:val="19"/>
        </w:rPr>
        <w:t xml:space="preserve">        │ HTTP POST (webhook)</w:t>
      </w:r>
    </w:p>
    <w:p>
      <w:pPr>
        <w:spacing w:after="0" w:before="0"/>
        <w:ind w:left="240"/>
      </w:pPr>
      <w:r>
        <w:rPr>
          <w:rFonts w:ascii="Roboto Mono, Consolas, Courier New" w:cs="Roboto Mono, Consolas, Courier New" w:eastAsia="Roboto Mono, Consolas, Courier New" w:hAnsi="Roboto Mono, Consolas, Courier New"/>
          <w:color w:val="3C3C3C"/>
          <w:sz w:val="19"/>
          <w:szCs w:val="19"/>
        </w:rPr>
        <w:t xml:space="preserve">        ▼</w:t>
      </w:r>
    </w:p>
    <w:p>
      <w:pPr>
        <w:spacing w:after="0" w:before="0"/>
        <w:ind w:left="240"/>
      </w:pPr>
      <w:r>
        <w:rPr>
          <w:rFonts w:ascii="Roboto Mono, Consolas, Courier New" w:cs="Roboto Mono, Consolas, Courier New" w:eastAsia="Roboto Mono, Consolas, Courier New" w:hAnsi="Roboto Mono, Consolas, Courier New"/>
          <w:color w:val="3C3C3C"/>
          <w:sz w:val="19"/>
          <w:szCs w:val="19"/>
        </w:rPr>
        <w:t xml:space="preserve">n8n — Cloud Run, us-east4, min=1 max=1, 1 vCPU / 1Gi</w:t>
      </w:r>
    </w:p>
    <w:p>
      <w:pPr>
        <w:spacing w:after="0" w:before="0"/>
        <w:ind w:left="240"/>
      </w:pPr>
      <w:r>
        <w:rPr>
          <w:rFonts w:ascii="Roboto Mono, Consolas, Courier New" w:cs="Roboto Mono, Consolas, Courier New" w:eastAsia="Roboto Mono, Consolas, Courier New" w:hAnsi="Roboto Mono, Consolas, Courier New"/>
          <w:color w:val="3C3C3C"/>
          <w:sz w:val="19"/>
          <w:szCs w:val="19"/>
        </w:rPr>
        <w:t xml:space="preserve">  ① PitchBook drop  ② Watchlist drop  ③ Top 10 VC drop</w:t>
      </w:r>
    </w:p>
    <w:p>
      <w:pPr>
        <w:spacing w:after="0" w:before="0"/>
        <w:ind w:left="240"/>
      </w:pPr>
      <w:r>
        <w:rPr>
          <w:rFonts w:ascii="Roboto Mono, Consolas, Courier New" w:cs="Roboto Mono, Consolas, Courier New" w:eastAsia="Roboto Mono, Consolas, Courier New" w:hAnsi="Roboto Mono, Consolas, Courier New"/>
          <w:color w:val="3C3C3C"/>
          <w:sz w:val="19"/>
          <w:szCs w:val="19"/>
        </w:rPr>
        <w:t xml:space="preserve">  ④ Jesse's Deals    ⑤–⑧ intelligence workflows (roadmap)</w:t>
      </w:r>
    </w:p>
    <w:p>
      <w:pPr>
        <w:spacing w:after="0" w:before="0"/>
        <w:ind w:left="240"/>
      </w:pPr>
      <w:r>
        <w:rPr>
          <w:rFonts w:ascii="Roboto Mono, Consolas, Courier New" w:cs="Roboto Mono, Consolas, Courier New" w:eastAsia="Roboto Mono, Consolas, Courier New" w:hAnsi="Roboto Mono, Consolas, Courier New"/>
          <w:color w:val="3C3C3C"/>
          <w:sz w:val="19"/>
          <w:szCs w:val="19"/>
        </w:rPr>
        <w:t xml:space="preserve">        │ HTTP POST</w:t>
      </w:r>
    </w:p>
    <w:p>
      <w:pPr>
        <w:spacing w:after="0" w:before="0"/>
        <w:ind w:left="240"/>
      </w:pPr>
      <w:r>
        <w:rPr>
          <w:rFonts w:ascii="Roboto Mono, Consolas, Courier New" w:cs="Roboto Mono, Consolas, Courier New" w:eastAsia="Roboto Mono, Consolas, Courier New" w:hAnsi="Roboto Mono, Consolas, Courier New"/>
          <w:color w:val="3C3C3C"/>
          <w:sz w:val="19"/>
          <w:szCs w:val="19"/>
        </w:rPr>
        <w:t xml:space="preserve">        ▼</w:t>
      </w:r>
    </w:p>
    <w:p>
      <w:pPr>
        <w:spacing w:after="0" w:before="0"/>
        <w:ind w:left="240"/>
      </w:pPr>
      <w:r>
        <w:rPr>
          <w:rFonts w:ascii="Roboto Mono, Consolas, Courier New" w:cs="Roboto Mono, Consolas, Courier New" w:eastAsia="Roboto Mono, Consolas, Courier New" w:hAnsi="Roboto Mono, Consolas, Courier New"/>
          <w:color w:val="3C3C3C"/>
          <w:sz w:val="19"/>
          <w:szCs w:val="19"/>
        </w:rPr>
        <w:t xml:space="preserve">pipeline/app.py — Cloud Run, min=0 max=3, 1 vCPU / 512Mi</w:t>
      </w:r>
    </w:p>
    <w:p>
      <w:pPr>
        <w:spacing w:after="0" w:before="0"/>
        <w:ind w:left="240"/>
      </w:pPr>
      <w:r>
        <w:rPr>
          <w:rFonts w:ascii="Roboto Mono, Consolas, Courier New" w:cs="Roboto Mono, Consolas, Courier New" w:eastAsia="Roboto Mono, Consolas, Courier New" w:hAnsi="Roboto Mono, Consolas, Courier New"/>
          <w:color w:val="3C3C3C"/>
          <w:sz w:val="19"/>
          <w:szCs w:val="19"/>
        </w:rPr>
        <w:t xml:space="preserve">  Attio write layer: deals, companies, investors, LPs</w:t>
      </w:r>
    </w:p>
    <w:p>
      <w:pPr>
        <w:spacing w:after="0" w:before="0"/>
        <w:ind w:left="240"/>
      </w:pPr>
      <w:r>
        <w:rPr>
          <w:rFonts w:ascii="Roboto Mono, Consolas, Courier New" w:cs="Roboto Mono, Consolas, Courier New" w:eastAsia="Roboto Mono, Consolas, Courier New" w:hAnsi="Roboto Mono, Consolas, Courier New"/>
          <w:color w:val="3C3C3C"/>
          <w:sz w:val="19"/>
          <w:szCs w:val="19"/>
        </w:rPr>
        <w:t xml:space="preserve">        │ REST API                    │</w:t>
      </w:r>
    </w:p>
    <w:p>
      <w:pPr>
        <w:spacing w:after="0" w:before="0"/>
        <w:ind w:left="240"/>
      </w:pPr>
      <w:r>
        <w:rPr>
          <w:rFonts w:ascii="Roboto Mono, Consolas, Courier New" w:cs="Roboto Mono, Consolas, Courier New" w:eastAsia="Roboto Mono, Consolas, Courier New" w:hAnsi="Roboto Mono, Consolas, Courier New"/>
          <w:color w:val="3C3C3C"/>
          <w:sz w:val="19"/>
          <w:szCs w:val="19"/>
        </w:rPr>
        <w:t xml:space="preserve">        ▼                             ▼</w:t>
      </w:r>
    </w:p>
    <w:p>
      <w:pPr>
        <w:spacing w:after="100" w:before="0"/>
        <w:ind w:left="240"/>
      </w:pPr>
      <w:r>
        <w:rPr>
          <w:rFonts w:ascii="Roboto Mono, Consolas, Courier New" w:cs="Roboto Mono, Consolas, Courier New" w:eastAsia="Roboto Mono, Consolas, Courier New" w:hAnsi="Roboto Mono, Consolas, Courier New"/>
          <w:color w:val="3C3C3C"/>
          <w:sz w:val="19"/>
          <w:szCs w:val="19"/>
        </w:rPr>
        <w:t xml:space="preserve">  Attio CRM                        Gmail (digests, alerts)</w:t>
      </w:r>
    </w:p>
    <w:p>
      <w:pPr>
        <w:spacing w:after="100" w:before="40"/>
      </w:pPr>
      <w:r>
        <w:rPr>
          <w:rFonts w:ascii="Sora" w:cs="Sora" w:eastAsia="Sora" w:hAnsi="Sora"/>
          <w:b/>
          <w:bCs/>
          <w:caps/>
          <w:color w:val="1A1A1A"/>
          <w:spacing w:val="40"/>
          <w:sz w:val="18"/>
          <w:szCs w:val="18"/>
        </w:rPr>
        <w:t xml:space="preserve">Note  </w:t>
      </w:r>
      <w:r>
        <w:rPr>
          <w:rFonts w:ascii="Sora" w:cs="Sora" w:eastAsia="Sora" w:hAnsi="Sora"/>
          <w:color w:val="1A1A1A"/>
          <w:sz w:val="21"/>
          <w:szCs w:val="21"/>
        </w:rPr>
        <w:t xml:space="preserve">Deal Intelligence runs as a separate Python package (deal_intelligence/) invoked on its own schedule, not yet wired into app.py — see Chapter 3.</w:t>
      </w:r>
    </w:p>
    <w:p>
      <w:pPr>
        <w:pStyle w:val="Heading1"/>
        <w:pBdr>
          <w:bottom w:val="single" w:color="1A1A1A" w:sz="6" w:space="6"/>
        </w:pBdr>
        <w:spacing w:after="90" w:before="320"/>
      </w:pPr>
      <w:r>
        <w:rPr>
          <w:rFonts w:ascii="Sora" w:cs="Sora" w:eastAsia="Sora" w:hAnsi="Sora"/>
          <w:color w:val="828282"/>
          <w:sz w:val="20"/>
          <w:szCs w:val="20"/>
        </w:rPr>
        <w:t xml:space="preserve">02   </w:t>
      </w:r>
      <w:r>
        <w:rPr>
          <w:rFonts w:ascii="Roboto Serif" w:cs="Roboto Serif" w:eastAsia="Roboto Serif" w:hAnsi="Roboto Serif"/>
          <w:b/>
          <w:bCs/>
          <w:color w:val="1A1A1A"/>
          <w:sz w:val="28"/>
          <w:szCs w:val="28"/>
        </w:rPr>
        <w:t xml:space="preserve">Live — PitchBook → Attio Pipeline &amp; Apollo Reach Out</w:t>
      </w:r>
    </w:p>
    <w:p>
      <w:pPr>
        <w:pStyle w:val="Heading2"/>
        <w:spacing w:after="50" w:before="180"/>
      </w:pPr>
      <w:r>
        <w:rPr>
          <w:rFonts w:ascii="Sora" w:cs="Sora" w:eastAsia="Sora" w:hAnsi="Sora"/>
          <w:b/>
          <w:bCs/>
          <w:color w:val="1A1A1A"/>
          <w:sz w:val="22"/>
          <w:szCs w:val="22"/>
        </w:rPr>
        <w:t xml:space="preserve">PitchBook → Attio Pipeline — endpoints</w:t>
      </w:r>
    </w:p>
    <w:tbl>
      <w:tblPr>
        <w:tblW w:type="dxa" w:w="9360"/>
        <w:tblBorders>
          <w:top w:val="none"/>
          <w:left w:val="none"/>
          <w:bottom w:val="none"/>
          <w:right w:val="none"/>
          <w:insideH w:val="none"/>
          <w:insideV w:val="none"/>
        </w:tblBorders>
      </w:tblPr>
      <w:tblGrid>
        <w:gridCol w:w="2800"/>
        <w:gridCol w:w="6560"/>
      </w:tblGrid>
      <w:tr>
        <w:trPr>
          <w:tblHeader/>
        </w:trPr>
        <w:tc>
          <w:tcPr>
            <w:tcW w:type="dxa" w:w="28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Endpoint</w:t>
            </w:r>
          </w:p>
        </w:tc>
        <w:tc>
          <w:tcPr>
            <w:tcW w:type="dxa" w:w="65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Purpose</w:t>
            </w:r>
          </w:p>
        </w:tc>
      </w:tr>
      <w:tr>
        <w:tc>
          <w:tcPr>
            <w:tcW w:type="dxa" w:w="28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POST /process</w:t>
            </w:r>
          </w:p>
        </w:tc>
        <w:tc>
          <w:tcPr>
            <w:tcW w:type="dxa" w:w="65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PitchBook weekly export → Attio deals + companies</w:t>
            </w:r>
          </w:p>
        </w:tc>
      </w:tr>
      <w:tr>
        <w:tc>
          <w:tcPr>
            <w:tcW w:type="dxa" w:w="28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POST /process-watchlist</w:t>
            </w:r>
          </w:p>
        </w:tc>
        <w:tc>
          <w:tcPr>
            <w:tcW w:type="dxa" w:w="65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Watchlist export → Attio</w:t>
            </w:r>
          </w:p>
        </w:tc>
      </w:tr>
      <w:tr>
        <w:tc>
          <w:tcPr>
            <w:tcW w:type="dxa" w:w="28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POST /process-top10</w:t>
            </w:r>
          </w:p>
        </w:tc>
        <w:tc>
          <w:tcPr>
            <w:tcW w:type="dxa" w:w="65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Top 10 VC export → Attio; new deals land on Radar only</w:t>
            </w:r>
          </w:p>
        </w:tc>
      </w:tr>
      <w:tr>
        <w:tc>
          <w:tcPr>
            <w:tcW w:type="dxa" w:w="28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POST /process-jesse</w:t>
            </w:r>
          </w:p>
        </w:tc>
        <w:tc>
          <w:tcPr>
            <w:tcW w:type="dxa" w:w="65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Jesse's Deals sheet → Attio</w:t>
            </w:r>
          </w:p>
        </w:tc>
      </w:tr>
      <w:tr>
        <w:tc>
          <w:tcPr>
            <w:tcW w:type="dxa" w:w="28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POST /backfill-investors</w:t>
            </w:r>
          </w:p>
        </w:tc>
        <w:tc>
          <w:tcPr>
            <w:tcW w:type="dxa" w:w="65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One-off investor-link backfill (hits the 30s gunicorn timeout on a large workspace — use the CSV import path instead)</w:t>
            </w:r>
          </w:p>
        </w:tc>
      </w:tr>
      <w:tr>
        <w:tc>
          <w:tcPr>
            <w:tcW w:type="dxa" w:w="28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POST /update-investors</w:t>
            </w:r>
          </w:p>
        </w:tc>
        <w:tc>
          <w:tcPr>
            <w:tcW w:type="dxa" w:w="65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Background investor-link update, paginated</w:t>
            </w:r>
          </w:p>
        </w:tc>
      </w:tr>
      <w:tr>
        <w:tc>
          <w:tcPr>
            <w:tcW w:type="dxa" w:w="28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POST /fix-radar-stages</w:t>
            </w:r>
          </w:p>
        </w:tc>
        <w:tc>
          <w:tcPr>
            <w:tcW w:type="dxa" w:w="65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Bulk-promotes Qualified → Radar for deals carrying new_investors_7</w:t>
            </w:r>
          </w:p>
        </w:tc>
      </w:tr>
      <w:tr>
        <w:tc>
          <w:tcPr>
            <w:tcW w:type="dxa" w:w="28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POST /sync-apollo</w:t>
            </w:r>
          </w:p>
        </w:tc>
        <w:tc>
          <w:tcPr>
            <w:tcW w:type="dxa" w:w="65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Mirrors Attio People into Apollo, parks them in the dormant holding sequence</w:t>
            </w:r>
          </w:p>
        </w:tc>
      </w:tr>
    </w:tbl>
    <w:p>
      <w:pPr>
        <w:pStyle w:val="Heading2"/>
        <w:spacing w:after="50" w:before="180"/>
      </w:pPr>
      <w:r>
        <w:rPr>
          <w:rFonts w:ascii="Sora" w:cs="Sora" w:eastAsia="Sora" w:hAnsi="Sora"/>
          <w:b/>
          <w:bCs/>
          <w:color w:val="1A1A1A"/>
          <w:sz w:val="22"/>
          <w:szCs w:val="22"/>
        </w:rPr>
        <w:t xml:space="preserve">Investor link slugs</w:t>
      </w:r>
    </w:p>
    <w:p>
      <w:pPr>
        <w:spacing w:after="80"/>
      </w:pPr>
      <w:r>
        <w:rPr>
          <w:rFonts w:ascii="Sora" w:cs="Sora" w:eastAsia="Sora" w:hAnsi="Sora"/>
          <w:color w:val="1A1A1A"/>
          <w:sz w:val="21"/>
          <w:szCs w:val="21"/>
        </w:rPr>
        <w:t xml:space="preserve">Reference attributes that create the actual link on the Deal record. Different from the FIELD_MAP text slugs (lead_investors, new_investors_7, investors), which only drive display.</w:t>
      </w:r>
    </w:p>
    <w:tbl>
      <w:tblPr>
        <w:tblW w:type="dxa" w:w="9360"/>
        <w:tblBorders>
          <w:top w:val="none"/>
          <w:left w:val="none"/>
          <w:bottom w:val="none"/>
          <w:right w:val="none"/>
          <w:insideH w:val="none"/>
          <w:insideV w:val="none"/>
        </w:tblBorders>
      </w:tblPr>
      <w:tblGrid>
        <w:gridCol w:w="4200"/>
        <w:gridCol w:w="5160"/>
      </w:tblGrid>
      <w:tr>
        <w:trPr>
          <w:tblHeader/>
        </w:trPr>
        <w:tc>
          <w:tcPr>
            <w:tcW w:type="dxa" w:w="42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Category</w:t>
            </w:r>
          </w:p>
        </w:tc>
        <w:tc>
          <w:tcPr>
            <w:tcW w:type="dxa" w:w="51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Reference slug</w:t>
            </w:r>
          </w:p>
        </w:tc>
      </w:tr>
      <w:tr>
        <w:tc>
          <w:tcPr>
            <w:tcW w:type="dxa" w:w="4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Lead investors</w:t>
            </w:r>
          </w:p>
        </w:tc>
        <w:tc>
          <w:tcPr>
            <w:tcW w:type="dxa" w:w="5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lead_investors_8</w:t>
            </w:r>
          </w:p>
        </w:tc>
      </w:tr>
      <w:tr>
        <w:tc>
          <w:tcPr>
            <w:tcW w:type="dxa" w:w="4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New investors</w:t>
            </w:r>
          </w:p>
        </w:tc>
        <w:tc>
          <w:tcPr>
            <w:tcW w:type="dxa" w:w="5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new_investors_5</w:t>
            </w:r>
          </w:p>
        </w:tc>
      </w:tr>
      <w:tr>
        <w:tc>
          <w:tcPr>
            <w:tcW w:type="dxa" w:w="4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All investors, incl. follow-ons</w:t>
            </w:r>
          </w:p>
        </w:tc>
        <w:tc>
          <w:tcPr>
            <w:tcW w:type="dxa" w:w="5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investors_5</w:t>
            </w:r>
          </w:p>
        </w:tc>
      </w:tr>
    </w:tbl>
    <w:p>
      <w:pPr>
        <w:pStyle w:val="Heading2"/>
        <w:spacing w:after="50" w:before="180"/>
      </w:pPr>
      <w:r>
        <w:rPr>
          <w:rFonts w:ascii="Sora" w:cs="Sora" w:eastAsia="Sora" w:hAnsi="Sora"/>
          <w:b/>
          <w:bCs/>
          <w:color w:val="1A1A1A"/>
          <w:sz w:val="22"/>
          <w:szCs w:val="22"/>
        </w:rPr>
        <w:t xml:space="preserve">Write-format gotchas</w:t>
      </w:r>
    </w:p>
    <w:p>
      <w:pPr>
        <w:spacing w:after="80"/>
      </w:pPr>
      <w:r>
        <w:rPr>
          <w:rFonts w:ascii="Sora" w:cs="Sora" w:eastAsia="Sora" w:hAnsi="Sora"/>
          <w:color w:val="1A1A1A"/>
          <w:sz w:val="21"/>
          <w:szCs w:val="21"/>
        </w:rPr>
        <w:t xml:space="preserve">Attio's write shape differs from its read shape. Writing the read shape fails silently — no error, the field just doesn't set.</w:t>
      </w:r>
    </w:p>
    <w:tbl>
      <w:tblPr>
        <w:tblW w:type="dxa" w:w="9360"/>
        <w:tblBorders>
          <w:top w:val="none"/>
          <w:left w:val="none"/>
          <w:bottom w:val="none"/>
          <w:right w:val="none"/>
          <w:insideH w:val="none"/>
          <w:insideV w:val="none"/>
        </w:tblBorders>
      </w:tblPr>
      <w:tblGrid>
        <w:gridCol w:w="2200"/>
        <w:gridCol w:w="7160"/>
      </w:tblGrid>
      <w:tr>
        <w:trPr>
          <w:tblHeader/>
        </w:trPr>
        <w:tc>
          <w:tcPr>
            <w:tcW w:type="dxa" w:w="22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Type</w:t>
            </w:r>
          </w:p>
        </w:tc>
        <w:tc>
          <w:tcPr>
            <w:tcW w:type="dxa" w:w="71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Write format</w:t>
            </w:r>
          </w:p>
        </w:tc>
      </w:tr>
      <w:tr>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select, single</w:t>
            </w:r>
          </w:p>
        </w:tc>
        <w:tc>
          <w:tcPr>
            <w:tcW w:type="dxa" w:w="7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Plain string of the option title — "slug": "Yes". Not [{"option":"Yes"}]</w:t>
            </w:r>
          </w:p>
        </w:tc>
      </w:tr>
      <w:tr>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multi-select</w:t>
            </w:r>
          </w:p>
        </w:tc>
        <w:tc>
          <w:tcPr>
            <w:tcW w:type="dxa" w:w="7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Array of title strings — ["A", "B"]</w:t>
            </w:r>
          </w:p>
        </w:tc>
      </w:tr>
      <w:tr>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currency</w:t>
            </w:r>
          </w:p>
        </w:tc>
        <w:tc>
          <w:tcPr>
            <w:tcW w:type="dxa" w:w="7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[{"currency_value": 123}] — money in millions, multiply by 1,000,000</w:t>
            </w:r>
          </w:p>
        </w:tc>
      </w:tr>
      <w:tr>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record reference</w:t>
            </w:r>
          </w:p>
        </w:tc>
        <w:tc>
          <w:tcPr>
            <w:tcW w:type="dxa" w:w="7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[{"target_object": "companies", "target_record_id": "..."}]</w:t>
            </w:r>
          </w:p>
        </w:tc>
      </w:tr>
    </w:tbl>
    <w:p>
      <w:pPr>
        <w:pStyle w:val="Heading2"/>
        <w:spacing w:after="50" w:before="180"/>
      </w:pPr>
      <w:r>
        <w:rPr>
          <w:rFonts w:ascii="Sora" w:cs="Sora" w:eastAsia="Sora" w:hAnsi="Sora"/>
          <w:b/>
          <w:bCs/>
          <w:color w:val="1A1A1A"/>
          <w:sz w:val="22"/>
          <w:szCs w:val="22"/>
        </w:rPr>
        <w:t xml:space="preserve">Apollo Reach Out — scripts &amp; config</w:t>
      </w:r>
    </w:p>
    <w:tbl>
      <w:tblPr>
        <w:tblW w:type="dxa" w:w="9360"/>
        <w:tblBorders>
          <w:top w:val="none"/>
          <w:left w:val="none"/>
          <w:bottom w:val="none"/>
          <w:right w:val="none"/>
          <w:insideH w:val="none"/>
          <w:insideV w:val="none"/>
        </w:tblBorders>
      </w:tblPr>
      <w:tblGrid>
        <w:gridCol w:w="3000"/>
        <w:gridCol w:w="6360"/>
      </w:tblGrid>
      <w:tr>
        <w:trPr>
          <w:tblHeader/>
        </w:trPr>
        <w:tc>
          <w:tcPr>
            <w:tcW w:type="dxa" w:w="30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Script / var</w:t>
            </w:r>
          </w:p>
        </w:tc>
        <w:tc>
          <w:tcPr>
            <w:tcW w:type="dxa" w:w="63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Role</w:t>
            </w:r>
          </w:p>
        </w:tc>
      </w:tr>
      <w:tr>
        <w:tc>
          <w:tcPr>
            <w:tcW w:type="dxa" w:w="3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perplexity_lp_screener.py</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Per-firm web research and structured notes</w:t>
            </w:r>
          </w:p>
        </w:tc>
      </w:tr>
      <w:tr>
        <w:tc>
          <w:tcPr>
            <w:tcW w:type="dxa" w:w="3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lp_screener_hybrid.py</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Applies the 0–100 rubric and tiers firms</w:t>
            </w:r>
          </w:p>
        </w:tc>
      </w:tr>
      <w:tr>
        <w:tc>
          <w:tcPr>
            <w:tcW w:type="dxa" w:w="3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APOLLO_API_KEY</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Must be a master key — add_contact_ids returns 403 otherwise</w:t>
            </w:r>
          </w:p>
        </w:tc>
      </w:tr>
      <w:tr>
        <w:tc>
          <w:tcPr>
            <w:tcW w:type="dxa" w:w="3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APOLLO_HOLDING_SEQUENCE_ID</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Dormant sequence, no active email steps</w:t>
            </w:r>
          </w:p>
        </w:tc>
      </w:tr>
    </w:tbl>
    <w:p>
      <w:pPr>
        <w:spacing w:after="100" w:before="40"/>
      </w:pPr>
      <w:r>
        <w:rPr>
          <w:rFonts w:ascii="Sora" w:cs="Sora" w:eastAsia="Sora" w:hAnsi="Sora"/>
          <w:b/>
          <w:bCs/>
          <w:caps/>
          <w:color w:val="1A1A1A"/>
          <w:spacing w:val="40"/>
          <w:sz w:val="18"/>
          <w:szCs w:val="18"/>
        </w:rPr>
        <w:t xml:space="preserve">Note  </w:t>
      </w:r>
      <w:r>
        <w:rPr>
          <w:rFonts w:ascii="Sora" w:cs="Sora" w:eastAsia="Sora" w:hAnsi="Sora"/>
          <w:color w:val="1A1A1A"/>
          <w:sz w:val="21"/>
          <w:szCs w:val="21"/>
        </w:rPr>
        <w:t xml:space="preserve">Full filter recipe and API gotchas are in the Apollo Reach Out Guide — not repeated here.</w:t>
      </w:r>
    </w:p>
    <w:p>
      <w:pPr>
        <w:pStyle w:val="Heading1"/>
        <w:pBdr>
          <w:bottom w:val="single" w:color="1A1A1A" w:sz="6" w:space="6"/>
        </w:pBdr>
        <w:spacing w:after="90" w:before="320"/>
      </w:pPr>
      <w:r>
        <w:rPr>
          <w:rFonts w:ascii="Sora" w:cs="Sora" w:eastAsia="Sora" w:hAnsi="Sora"/>
          <w:color w:val="828282"/>
          <w:sz w:val="20"/>
          <w:szCs w:val="20"/>
        </w:rPr>
        <w:t xml:space="preserve">03   </w:t>
      </w:r>
      <w:r>
        <w:rPr>
          <w:rFonts w:ascii="Roboto Serif" w:cs="Roboto Serif" w:eastAsia="Roboto Serif" w:hAnsi="Roboto Serif"/>
          <w:b/>
          <w:bCs/>
          <w:color w:val="1A1A1A"/>
          <w:sz w:val="28"/>
          <w:szCs w:val="28"/>
        </w:rPr>
        <w:t xml:space="preserve">In build — Deal Intelligence</w:t>
      </w:r>
    </w:p>
    <w:p>
      <w:pPr>
        <w:spacing w:after="80"/>
      </w:pPr>
      <w:r>
        <w:rPr>
          <w:rFonts w:ascii="Sora" w:cs="Sora" w:eastAsia="Sora" w:hAnsi="Sora"/>
          <w:color w:val="1A1A1A"/>
          <w:sz w:val="21"/>
          <w:szCs w:val="21"/>
        </w:rPr>
        <w:t xml:space="preserve">Two-stage AI scoring over every qualified deal. Stage 1 is cheap and runs on the whole qualified pipeline; Stage 2 is heavy and only fires for deals that clear the gate.</w:t>
      </w:r>
    </w:p>
    <w:tbl>
      <w:tblPr>
        <w:tblW w:type="dxa" w:w="9360"/>
        <w:tblBorders>
          <w:top w:val="none"/>
          <w:left w:val="none"/>
          <w:bottom w:val="none"/>
          <w:right w:val="none"/>
          <w:insideH w:val="none"/>
          <w:insideV w:val="none"/>
        </w:tblBorders>
      </w:tblPr>
      <w:tblGrid>
        <w:gridCol w:w="2200"/>
        <w:gridCol w:w="2200"/>
        <w:gridCol w:w="2800"/>
        <w:gridCol w:w="2160"/>
      </w:tblGrid>
      <w:tr>
        <w:trPr>
          <w:tblHeader/>
        </w:trPr>
        <w:tc>
          <w:tcPr>
            <w:tcW w:type="dxa" w:w="22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Stage</w:t>
            </w:r>
          </w:p>
        </w:tc>
        <w:tc>
          <w:tcPr>
            <w:tcW w:type="dxa" w:w="22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Runs on</w:t>
            </w:r>
          </w:p>
        </w:tc>
        <w:tc>
          <w:tcPr>
            <w:tcW w:type="dxa" w:w="28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Models</w:t>
            </w:r>
          </w:p>
        </w:tc>
        <w:tc>
          <w:tcPr>
            <w:tcW w:type="dxa" w:w="21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Output</w:t>
            </w:r>
          </w:p>
        </w:tc>
      </w:tr>
      <w:tr>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1. Preliminary fit</w:t>
            </w:r>
          </w:p>
        </w:tc>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Every qualified deal</w:t>
            </w:r>
          </w:p>
        </w:tc>
        <w:tc>
          <w:tcPr>
            <w:tcW w:type="dxa" w:w="28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sonar-pro research, claude-haiku-4-5 scoring</w:t>
            </w:r>
          </w:p>
        </w:tc>
        <w:tc>
          <w:tcPr>
            <w:tcW w:type="dxa" w:w="2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Fit score (1–4), gate flag, rationale → Attio</w:t>
            </w:r>
          </w:p>
        </w:tc>
      </w:tr>
      <w:tr>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2. Deep research</w:t>
            </w:r>
          </w:p>
        </w:tc>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Deals that clear the gate</w:t>
            </w:r>
          </w:p>
        </w:tc>
        <w:tc>
          <w:tcPr>
            <w:tcW w:type="dxa" w:w="28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sonar-reasoning-pro research, claude-opus-4-8 synthesis</w:t>
            </w:r>
          </w:p>
        </w:tc>
        <w:tc>
          <w:tcPr>
            <w:tcW w:type="dxa" w:w="2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Five-angle research memo, final score → Attio + hub</w:t>
            </w:r>
          </w:p>
        </w:tc>
      </w:tr>
    </w:tbl>
    <w:p>
      <w:pPr>
        <w:pStyle w:val="Heading2"/>
        <w:spacing w:after="50" w:before="180"/>
      </w:pPr>
      <w:r>
        <w:rPr>
          <w:rFonts w:ascii="Sora" w:cs="Sora" w:eastAsia="Sora" w:hAnsi="Sora"/>
          <w:b/>
          <w:bCs/>
          <w:color w:val="1A1A1A"/>
          <w:sz w:val="22"/>
          <w:szCs w:val="22"/>
        </w:rPr>
        <w:t xml:space="preserve">Rubric — five equally weighted parameters</w:t>
      </w:r>
    </w:p>
    <w:tbl>
      <w:tblPr>
        <w:tblW w:type="dxa" w:w="9360"/>
        <w:tblBorders>
          <w:top w:val="none"/>
          <w:left w:val="none"/>
          <w:bottom w:val="none"/>
          <w:right w:val="none"/>
          <w:insideH w:val="none"/>
          <w:insideV w:val="none"/>
        </w:tblBorders>
      </w:tblPr>
      <w:tblGrid>
        <w:gridCol w:w="5200"/>
        <w:gridCol w:w="4160"/>
      </w:tblGrid>
      <w:tr>
        <w:trPr>
          <w:tblHeader/>
        </w:trPr>
        <w:tc>
          <w:tcPr>
            <w:tcW w:type="dxa" w:w="52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Parameter</w:t>
            </w:r>
          </w:p>
        </w:tc>
        <w:tc>
          <w:tcPr>
            <w:tcW w:type="dxa" w:w="41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Weight</w:t>
            </w:r>
          </w:p>
        </w:tc>
      </w:tr>
      <w:tr>
        <w:tc>
          <w:tcPr>
            <w:tcW w:type="dxa" w:w="5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Lead / round dynamics</w:t>
            </w:r>
          </w:p>
        </w:tc>
        <w:tc>
          <w:tcPr>
            <w:tcW w:type="dxa" w:w="4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20%</w:t>
            </w:r>
          </w:p>
        </w:tc>
      </w:tr>
      <w:tr>
        <w:tc>
          <w:tcPr>
            <w:tcW w:type="dxa" w:w="5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AI score</w:t>
            </w:r>
          </w:p>
        </w:tc>
        <w:tc>
          <w:tcPr>
            <w:tcW w:type="dxa" w:w="4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20%</w:t>
            </w:r>
          </w:p>
        </w:tc>
      </w:tr>
      <w:tr>
        <w:tc>
          <w:tcPr>
            <w:tcW w:type="dxa" w:w="5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Fundamentals</w:t>
            </w:r>
          </w:p>
        </w:tc>
        <w:tc>
          <w:tcPr>
            <w:tcW w:type="dxa" w:w="4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20%</w:t>
            </w:r>
          </w:p>
        </w:tc>
      </w:tr>
      <w:tr>
        <w:tc>
          <w:tcPr>
            <w:tcW w:type="dxa" w:w="5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Return potential</w:t>
            </w:r>
          </w:p>
        </w:tc>
        <w:tc>
          <w:tcPr>
            <w:tcW w:type="dxa" w:w="4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20%</w:t>
            </w:r>
          </w:p>
        </w:tc>
      </w:tr>
      <w:tr>
        <w:tc>
          <w:tcPr>
            <w:tcW w:type="dxa" w:w="5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Terms</w:t>
            </w:r>
          </w:p>
        </w:tc>
        <w:tc>
          <w:tcPr>
            <w:tcW w:type="dxa" w:w="41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20%</w:t>
            </w:r>
          </w:p>
        </w:tc>
      </w:tr>
    </w:tbl>
    <w:p>
      <w:pPr>
        <w:spacing w:after="80"/>
      </w:pPr>
      <w:r>
        <w:rPr>
          <w:rFonts w:ascii="Sora" w:cs="Sora" w:eastAsia="Sora" w:hAnsi="Sora"/>
          <w:color w:val="1A1A1A"/>
          <w:sz w:val="21"/>
          <w:szCs w:val="21"/>
        </w:rPr>
        <w:t xml:space="preserve">Scored 1–4 against the anchors in </w:t>
      </w:r>
      <w:r>
        <w:rPr>
          <w:rFonts w:ascii="Roboto Mono, Consolas, Courier New" w:cs="Roboto Mono, Consolas, Courier New" w:eastAsia="Roboto Mono, Consolas, Courier New" w:hAnsi="Roboto Mono, Consolas, Courier New"/>
          <w:color w:val="1A1A1A"/>
          <w:sz w:val="19"/>
          <w:szCs w:val="19"/>
        </w:rPr>
        <w:t xml:space="preserve">prompts/rubric.md</w:t>
      </w:r>
      <w:r>
        <w:rPr>
          <w:rFonts w:ascii="Sora" w:cs="Sora" w:eastAsia="Sora" w:hAnsi="Sora"/>
          <w:color w:val="1A1A1A"/>
          <w:sz w:val="21"/>
          <w:szCs w:val="21"/>
        </w:rPr>
        <w:t xml:space="preserve">. </w:t>
      </w:r>
      <w:r>
        <w:rPr>
          <w:rFonts w:ascii="Roboto Mono, Consolas, Courier New" w:cs="Roboto Mono, Consolas, Courier New" w:eastAsia="Roboto Mono, Consolas, Courier New" w:hAnsi="Roboto Mono, Consolas, Courier New"/>
          <w:color w:val="1A1A1A"/>
          <w:sz w:val="19"/>
          <w:szCs w:val="19"/>
        </w:rPr>
        <w:t xml:space="preserve">FIT_THRESHOLD</w:t>
      </w:r>
      <w:r>
        <w:rPr>
          <w:rFonts w:ascii="Sora" w:cs="Sora" w:eastAsia="Sora" w:hAnsi="Sora"/>
          <w:color w:val="1A1A1A"/>
          <w:sz w:val="21"/>
          <w:szCs w:val="21"/>
        </w:rPr>
        <w:t xml:space="preserve"> = 3.0 clears the gate to Stage 2; </w:t>
      </w:r>
      <w:r>
        <w:rPr>
          <w:rFonts w:ascii="Roboto Mono, Consolas, Courier New" w:cs="Roboto Mono, Consolas, Courier New" w:eastAsia="Roboto Mono, Consolas, Courier New" w:hAnsi="Roboto Mono, Consolas, Courier New"/>
          <w:color w:val="1A1A1A"/>
          <w:sz w:val="19"/>
          <w:szCs w:val="19"/>
        </w:rPr>
        <w:t xml:space="preserve">VERY_HIGH_QUALITY_THRESHOLD</w:t>
      </w:r>
      <w:r>
        <w:rPr>
          <w:rFonts w:ascii="Sora" w:cs="Sora" w:eastAsia="Sora" w:hAnsi="Sora"/>
          <w:color w:val="1A1A1A"/>
          <w:sz w:val="21"/>
          <w:szCs w:val="21"/>
        </w:rPr>
        <w:t xml:space="preserve"> = 3.3 is the second tier surfaced in the Stage 1 rationale.</w:t>
      </w:r>
    </w:p>
    <w:p>
      <w:pPr>
        <w:pStyle w:val="Heading2"/>
        <w:spacing w:after="50" w:before="180"/>
      </w:pPr>
      <w:r>
        <w:rPr>
          <w:rFonts w:ascii="Sora" w:cs="Sora" w:eastAsia="Sora" w:hAnsi="Sora"/>
          <w:b/>
          <w:bCs/>
          <w:color w:val="1A1A1A"/>
          <w:sz w:val="22"/>
          <w:szCs w:val="22"/>
        </w:rPr>
        <w:t xml:space="preserve">Running it</w:t>
      </w:r>
    </w:p>
    <w:p>
      <w:pPr>
        <w:spacing w:after="0" w:before="40"/>
        <w:ind w:left="240"/>
      </w:pPr>
      <w:r>
        <w:rPr>
          <w:rFonts w:ascii="Roboto Mono, Consolas, Courier New" w:cs="Roboto Mono, Consolas, Courier New" w:eastAsia="Roboto Mono, Consolas, Courier New" w:hAnsi="Roboto Mono, Consolas, Courier New"/>
          <w:color w:val="3C3C3C"/>
          <w:sz w:val="19"/>
          <w:szCs w:val="19"/>
        </w:rPr>
        <w:t xml:space="preserve">python -m deal_intelligence.pipeline            # full run</w:t>
      </w:r>
    </w:p>
    <w:p>
      <w:pPr>
        <w:spacing w:after="0" w:before="0"/>
        <w:ind w:left="240"/>
      </w:pPr>
      <w:r>
        <w:rPr>
          <w:rFonts w:ascii="Roboto Mono, Consolas, Courier New" w:cs="Roboto Mono, Consolas, Courier New" w:eastAsia="Roboto Mono, Consolas, Courier New" w:hAnsi="Roboto Mono, Consolas, Courier New"/>
          <w:color w:val="3C3C3C"/>
          <w:sz w:val="19"/>
          <w:szCs w:val="19"/>
        </w:rPr>
        <w:t xml:space="preserve">python -m deal_intelligence.pipeline --dry-run  # no Attio write-back</w:t>
      </w:r>
    </w:p>
    <w:p>
      <w:pPr>
        <w:spacing w:after="100" w:before="0"/>
        <w:ind w:left="240"/>
      </w:pPr>
      <w:r>
        <w:rPr>
          <w:rFonts w:ascii="Roboto Mono, Consolas, Courier New" w:cs="Roboto Mono, Consolas, Courier New" w:eastAsia="Roboto Mono, Consolas, Courier New" w:hAnsi="Roboto Mono, Consolas, Courier New"/>
          <w:color w:val="3C3C3C"/>
          <w:sz w:val="19"/>
          <w:szCs w:val="19"/>
        </w:rPr>
        <w:t xml:space="preserve">python -m deal_intelligence.pipeline --stage1   # stage 1 only</w:t>
      </w:r>
    </w:p>
    <w:p>
      <w:pPr>
        <w:spacing w:after="100" w:before="40"/>
      </w:pPr>
      <w:r>
        <w:rPr>
          <w:rFonts w:ascii="Sora" w:cs="Sora" w:eastAsia="Sora" w:hAnsi="Sora"/>
          <w:b/>
          <w:bCs/>
          <w:caps/>
          <w:color w:val="1A1A1A"/>
          <w:spacing w:val="40"/>
          <w:sz w:val="18"/>
          <w:szCs w:val="18"/>
        </w:rPr>
        <w:t xml:space="preserve">Note  </w:t>
      </w:r>
      <w:r>
        <w:rPr>
          <w:rFonts w:ascii="Sora" w:cs="Sora" w:eastAsia="Sora" w:hAnsi="Sora"/>
          <w:color w:val="1A1A1A"/>
          <w:sz w:val="21"/>
          <w:szCs w:val="21"/>
        </w:rPr>
        <w:t xml:space="preserve">Not yet exposed over HTTP for n8n — the pipeline docstring references a /screen-deals endpoint that still needs to be added to app.py. Attio write-back slugs (fit_score, fit_gate, fit_rationale, memo_url, final_score) are unset until those fields exist on the Deals object.</w:t>
      </w:r>
    </w:p>
    <w:p>
      <w:pPr>
        <w:pStyle w:val="Heading1"/>
        <w:pBdr>
          <w:bottom w:val="single" w:color="1A1A1A" w:sz="6" w:space="6"/>
        </w:pBdr>
        <w:spacing w:after="90" w:before="320"/>
      </w:pPr>
      <w:r>
        <w:rPr>
          <w:rFonts w:ascii="Sora" w:cs="Sora" w:eastAsia="Sora" w:hAnsi="Sora"/>
          <w:color w:val="828282"/>
          <w:sz w:val="20"/>
          <w:szCs w:val="20"/>
        </w:rPr>
        <w:t xml:space="preserve">04   </w:t>
      </w:r>
      <w:r>
        <w:rPr>
          <w:rFonts w:ascii="Roboto Serif" w:cs="Roboto Serif" w:eastAsia="Roboto Serif" w:hAnsi="Roboto Serif"/>
          <w:b/>
          <w:bCs/>
          <w:color w:val="1A1A1A"/>
          <w:sz w:val="28"/>
          <w:szCs w:val="28"/>
        </w:rPr>
        <w:t xml:space="preserve">Roadmap — ready to add</w:t>
      </w:r>
    </w:p>
    <w:p>
      <w:pPr>
        <w:spacing w:after="80"/>
      </w:pPr>
      <w:r>
        <w:rPr>
          <w:rFonts w:ascii="Sora" w:cs="Sora" w:eastAsia="Sora" w:hAnsi="Sora"/>
          <w:color w:val="1A1A1A"/>
          <w:sz w:val="21"/>
          <w:szCs w:val="21"/>
        </w:rPr>
        <w:t xml:space="preserve">Infrastructure already supports these; none are in the initial deploy scope. Each rides the existing n8n + app.py stack, so adding one is build time, not new monthly cost.</w:t>
      </w:r>
    </w:p>
    <w:tbl>
      <w:tblPr>
        <w:tblW w:type="dxa" w:w="9360"/>
        <w:tblBorders>
          <w:top w:val="none"/>
          <w:left w:val="none"/>
          <w:bottom w:val="none"/>
          <w:right w:val="none"/>
          <w:insideH w:val="none"/>
          <w:insideV w:val="none"/>
        </w:tblBorders>
      </w:tblPr>
      <w:tblGrid>
        <w:gridCol w:w="600"/>
        <w:gridCol w:w="2400"/>
        <w:gridCol w:w="1900"/>
        <w:gridCol w:w="2700"/>
        <w:gridCol w:w="1760"/>
      </w:tblGrid>
      <w:tr>
        <w:trPr>
          <w:tblHeader/>
        </w:trPr>
        <w:tc>
          <w:tcPr>
            <w:tcW w:type="dxa" w:w="6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w:t>
            </w:r>
          </w:p>
        </w:tc>
        <w:tc>
          <w:tcPr>
            <w:tcW w:type="dxa" w:w="24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Workflow</w:t>
            </w:r>
          </w:p>
        </w:tc>
        <w:tc>
          <w:tcPr>
            <w:tcW w:type="dxa" w:w="19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Trigger</w:t>
            </w:r>
          </w:p>
        </w:tc>
        <w:tc>
          <w:tcPr>
            <w:tcW w:type="dxa" w:w="27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Logic</w:t>
            </w:r>
          </w:p>
        </w:tc>
        <w:tc>
          <w:tcPr>
            <w:tcW w:type="dxa" w:w="17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Output</w:t>
            </w:r>
          </w:p>
        </w:tc>
      </w:tr>
      <w:tr>
        <w:tc>
          <w:tcPr>
            <w:tcW w:type="dxa" w:w="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⑤</w:t>
            </w:r>
          </w:p>
        </w:tc>
        <w:tc>
          <w:tcPr>
            <w:tcW w:type="dxa" w:w="2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Daily Deal Digest</w:t>
            </w:r>
          </w:p>
        </w:tc>
        <w:tc>
          <w:tcPr>
            <w:tcW w:type="dxa" w:w="19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7am ET, Apps Script</w:t>
            </w:r>
          </w:p>
        </w:tc>
        <w:tc>
          <w:tcPr>
            <w:tcW w:type="dxa" w:w="27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Fetch 15+ RSS feeds, filter by sector/stage</w:t>
            </w:r>
          </w:p>
        </w:tc>
        <w:tc>
          <w:tcPr>
            <w:tcW w:type="dxa" w:w="1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Email digest</w:t>
            </w:r>
          </w:p>
        </w:tc>
      </w:tr>
      <w:tr>
        <w:tc>
          <w:tcPr>
            <w:tcW w:type="dxa" w:w="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⑥</w:t>
            </w:r>
          </w:p>
        </w:tc>
        <w:tc>
          <w:tcPr>
            <w:tcW w:type="dxa" w:w="2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Portfolio Monitoring</w:t>
            </w:r>
          </w:p>
        </w:tc>
        <w:tc>
          <w:tcPr>
            <w:tcW w:type="dxa" w:w="19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7am ET, Apps Script</w:t>
            </w:r>
          </w:p>
        </w:tc>
        <w:tc>
          <w:tcPr>
            <w:tcW w:type="dxa" w:w="27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Google Alerts RSS per portfolio company</w:t>
            </w:r>
          </w:p>
        </w:tc>
        <w:tc>
          <w:tcPr>
            <w:tcW w:type="dxa" w:w="1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Attio note on company</w:t>
            </w:r>
          </w:p>
        </w:tc>
      </w:tr>
      <w:tr>
        <w:tc>
          <w:tcPr>
            <w:tcW w:type="dxa" w:w="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⑦</w:t>
            </w:r>
          </w:p>
        </w:tc>
        <w:tc>
          <w:tcPr>
            <w:tcW w:type="dxa" w:w="2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LP Intelligence</w:t>
            </w:r>
          </w:p>
        </w:tc>
        <w:tc>
          <w:tcPr>
            <w:tcW w:type="dxa" w:w="19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Weekly Mon 7am</w:t>
            </w:r>
          </w:p>
        </w:tc>
        <w:tc>
          <w:tcPr>
            <w:tcW w:type="dxa" w:w="27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SEC EDGAR 13F scan, filter target LPs</w:t>
            </w:r>
          </w:p>
        </w:tc>
        <w:tc>
          <w:tcPr>
            <w:tcW w:type="dxa" w:w="1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Attio LP note + email</w:t>
            </w:r>
          </w:p>
        </w:tc>
      </w:tr>
      <w:tr>
        <w:tc>
          <w:tcPr>
            <w:tcW w:type="dxa" w:w="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⑧</w:t>
            </w:r>
          </w:p>
        </w:tc>
        <w:tc>
          <w:tcPr>
            <w:tcW w:type="dxa" w:w="2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Competitive VC Radar</w:t>
            </w:r>
          </w:p>
        </w:tc>
        <w:tc>
          <w:tcPr>
            <w:tcW w:type="dxa" w:w="19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Weekly Mon 7am</w:t>
            </w:r>
          </w:p>
        </w:tc>
        <w:tc>
          <w:tcPr>
            <w:tcW w:type="dxa" w:w="27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RSS (StrictlyVC, The Information, PEHub)</w:t>
            </w:r>
          </w:p>
        </w:tc>
        <w:tc>
          <w:tcPr>
            <w:tcW w:type="dxa" w:w="1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Email digest</w:t>
            </w:r>
          </w:p>
        </w:tc>
      </w:tr>
    </w:tbl>
    <w:p>
      <w:pPr>
        <w:pStyle w:val="Heading2"/>
        <w:spacing w:after="50" w:before="180"/>
      </w:pPr>
      <w:r>
        <w:rPr>
          <w:rFonts w:ascii="Sora" w:cs="Sora" w:eastAsia="Sora" w:hAnsi="Sora"/>
          <w:b/>
          <w:bCs/>
          <w:color w:val="1A1A1A"/>
          <w:sz w:val="22"/>
          <w:szCs w:val="22"/>
        </w:rPr>
        <w:t xml:space="preserve">New app.py endpoints required</w:t>
      </w:r>
    </w:p>
    <w:tbl>
      <w:tblPr>
        <w:tblW w:type="dxa" w:w="9360"/>
        <w:tblBorders>
          <w:top w:val="none"/>
          <w:left w:val="none"/>
          <w:bottom w:val="none"/>
          <w:right w:val="none"/>
          <w:insideH w:val="none"/>
          <w:insideV w:val="none"/>
        </w:tblBorders>
      </w:tblPr>
      <w:tblGrid>
        <w:gridCol w:w="3200"/>
        <w:gridCol w:w="3760"/>
        <w:gridCol w:w="2400"/>
      </w:tblGrid>
      <w:tr>
        <w:trPr>
          <w:tblHeader/>
        </w:trPr>
        <w:tc>
          <w:tcPr>
            <w:tcW w:type="dxa" w:w="32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Endpoint</w:t>
            </w:r>
          </w:p>
        </w:tc>
        <w:tc>
          <w:tcPr>
            <w:tcW w:type="dxa" w:w="37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Purpose</w:t>
            </w:r>
          </w:p>
        </w:tc>
        <w:tc>
          <w:tcPr>
            <w:tcW w:type="dxa" w:w="24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Called by</w:t>
            </w:r>
          </w:p>
        </w:tc>
      </w:tr>
      <w:tr>
        <w:tc>
          <w:tcPr>
            <w:tcW w:type="dxa" w:w="3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POST /intel/portfolio-news</w:t>
            </w:r>
          </w:p>
        </w:tc>
        <w:tc>
          <w:tcPr>
            <w:tcW w:type="dxa" w:w="3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Writes a note to the Attio company record</w:t>
            </w:r>
          </w:p>
        </w:tc>
        <w:tc>
          <w:tcPr>
            <w:tcW w:type="dxa" w:w="2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Workflow ⑥</w:t>
            </w:r>
          </w:p>
        </w:tc>
      </w:tr>
      <w:tr>
        <w:tc>
          <w:tcPr>
            <w:tcW w:type="dxa" w:w="3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POST /intel/lp-activity</w:t>
            </w:r>
          </w:p>
        </w:tc>
        <w:tc>
          <w:tcPr>
            <w:tcW w:type="dxa" w:w="3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Writes a note to the Attio LP record</w:t>
            </w:r>
          </w:p>
        </w:tc>
        <w:tc>
          <w:tcPr>
            <w:tcW w:type="dxa" w:w="2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Workflow ⑦</w:t>
            </w:r>
          </w:p>
        </w:tc>
      </w:tr>
    </w:tbl>
    <w:p>
      <w:pPr>
        <w:spacing w:after="100" w:before="40"/>
      </w:pPr>
      <w:r>
        <w:rPr>
          <w:rFonts w:ascii="Sora" w:cs="Sora" w:eastAsia="Sora" w:hAnsi="Sora"/>
          <w:b/>
          <w:bCs/>
          <w:caps/>
          <w:color w:val="1A1A1A"/>
          <w:spacing w:val="40"/>
          <w:sz w:val="18"/>
          <w:szCs w:val="18"/>
        </w:rPr>
        <w:t xml:space="preserve">Note  </w:t>
      </w:r>
      <w:r>
        <w:rPr>
          <w:rFonts w:ascii="Sora" w:cs="Sora" w:eastAsia="Sora" w:hAnsi="Sora"/>
          <w:color w:val="1A1A1A"/>
          <w:sz w:val="21"/>
          <w:szCs w:val="21"/>
        </w:rPr>
        <w:t xml:space="preserve">Phase 2, documented not built: Thesis Radar — broader signal aggregation (web pages, hiring, filings, product launches) scored against ID8's theses.</w:t>
      </w:r>
    </w:p>
    <w:p>
      <w:pPr>
        <w:pStyle w:val="Heading1"/>
        <w:pBdr>
          <w:bottom w:val="single" w:color="1A1A1A" w:sz="6" w:space="6"/>
        </w:pBdr>
        <w:spacing w:after="90" w:before="320"/>
      </w:pPr>
      <w:r>
        <w:rPr>
          <w:rFonts w:ascii="Sora" w:cs="Sora" w:eastAsia="Sora" w:hAnsi="Sora"/>
          <w:color w:val="828282"/>
          <w:sz w:val="20"/>
          <w:szCs w:val="20"/>
        </w:rPr>
        <w:t xml:space="preserve">05   </w:t>
      </w:r>
      <w:r>
        <w:rPr>
          <w:rFonts w:ascii="Roboto Serif" w:cs="Roboto Serif" w:eastAsia="Roboto Serif" w:hAnsi="Roboto Serif"/>
          <w:b/>
          <w:bCs/>
          <w:color w:val="1A1A1A"/>
          <w:sz w:val="28"/>
          <w:szCs w:val="28"/>
        </w:rPr>
        <w:t xml:space="preserve">Infrastructure</w:t>
      </w:r>
    </w:p>
    <w:p>
      <w:pPr>
        <w:pStyle w:val="Heading2"/>
        <w:spacing w:after="50" w:before="180"/>
      </w:pPr>
      <w:r>
        <w:rPr>
          <w:rFonts w:ascii="Sora" w:cs="Sora" w:eastAsia="Sora" w:hAnsi="Sora"/>
          <w:b/>
          <w:bCs/>
          <w:color w:val="1A1A1A"/>
          <w:sz w:val="22"/>
          <w:szCs w:val="22"/>
        </w:rPr>
        <w:t xml:space="preserve">Cloud Run — n8n</w:t>
      </w:r>
    </w:p>
    <w:tbl>
      <w:tblPr>
        <w:tblW w:type="dxa" w:w="9360"/>
        <w:tblBorders>
          <w:top w:val="none"/>
          <w:left w:val="none"/>
          <w:bottom w:val="none"/>
          <w:right w:val="none"/>
          <w:insideH w:val="none"/>
          <w:insideV w:val="none"/>
        </w:tblBorders>
      </w:tblPr>
      <w:tblGrid>
        <w:gridCol w:w="3000"/>
        <w:gridCol w:w="6360"/>
      </w:tblGrid>
      <w:tr>
        <w:trPr>
          <w:tblHeader/>
        </w:trPr>
        <w:tc>
          <w:tcPr>
            <w:tcW w:type="dxa" w:w="30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Parameter</w:t>
            </w:r>
          </w:p>
        </w:tc>
        <w:tc>
          <w:tcPr>
            <w:tcW w:type="dxa" w:w="63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Value</w:t>
            </w:r>
          </w:p>
        </w:tc>
      </w:tr>
      <w:tr>
        <w:tc>
          <w:tcPr>
            <w:tcW w:type="dxa" w:w="3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Image</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docker.n8n.io/n8nio/n8n:1.108.2 (pinned)</w:t>
            </w:r>
          </w:p>
        </w:tc>
      </w:tr>
      <w:tr>
        <w:tc>
          <w:tcPr>
            <w:tcW w:type="dxa" w:w="3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Region / CPU / Memory</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us-east4, 1 vCPU, 1 Gi</w:t>
            </w:r>
          </w:p>
        </w:tc>
      </w:tr>
      <w:tr>
        <w:tc>
          <w:tcPr>
            <w:tcW w:type="dxa" w:w="3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Min / max instances</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1 / 1 — n8n regular mode requires single-instance</w:t>
            </w:r>
          </w:p>
        </w:tc>
      </w:tr>
      <w:tr>
        <w:tc>
          <w:tcPr>
            <w:tcW w:type="dxa" w:w="3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Timeout / port</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3600s / 5678</w:t>
            </w:r>
          </w:p>
        </w:tc>
      </w:tr>
    </w:tbl>
    <w:p>
      <w:pPr>
        <w:pStyle w:val="Heading2"/>
        <w:spacing w:after="50" w:before="180"/>
      </w:pPr>
      <w:r>
        <w:rPr>
          <w:rFonts w:ascii="Sora" w:cs="Sora" w:eastAsia="Sora" w:hAnsi="Sora"/>
          <w:b/>
          <w:bCs/>
          <w:color w:val="1A1A1A"/>
          <w:sz w:val="22"/>
          <w:szCs w:val="22"/>
        </w:rPr>
        <w:t xml:space="preserve">Cloud Run — app.py</w:t>
      </w:r>
    </w:p>
    <w:tbl>
      <w:tblPr>
        <w:tblW w:type="dxa" w:w="9360"/>
        <w:tblBorders>
          <w:top w:val="none"/>
          <w:left w:val="none"/>
          <w:bottom w:val="none"/>
          <w:right w:val="none"/>
          <w:insideH w:val="none"/>
          <w:insideV w:val="none"/>
        </w:tblBorders>
      </w:tblPr>
      <w:tblGrid>
        <w:gridCol w:w="3000"/>
        <w:gridCol w:w="6360"/>
      </w:tblGrid>
      <w:tr>
        <w:trPr>
          <w:tblHeader/>
        </w:trPr>
        <w:tc>
          <w:tcPr>
            <w:tcW w:type="dxa" w:w="30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Parameter</w:t>
            </w:r>
          </w:p>
        </w:tc>
        <w:tc>
          <w:tcPr>
            <w:tcW w:type="dxa" w:w="63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Value</w:t>
            </w:r>
          </w:p>
        </w:tc>
      </w:tr>
      <w:tr>
        <w:tc>
          <w:tcPr>
            <w:tcW w:type="dxa" w:w="3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Runtime</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Python 3.12 (Flask)</w:t>
            </w:r>
          </w:p>
        </w:tc>
      </w:tr>
      <w:tr>
        <w:tc>
          <w:tcPr>
            <w:tcW w:type="dxa" w:w="3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CPU / Memory</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1 vCPU / 512 Mi</w:t>
            </w:r>
          </w:p>
        </w:tc>
      </w:tr>
      <w:tr>
        <w:tc>
          <w:tcPr>
            <w:tcW w:type="dxa" w:w="3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Min / max instances</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0 / 3 — scales to zero, only called by n8n</w:t>
            </w:r>
          </w:p>
        </w:tc>
      </w:tr>
      <w:tr>
        <w:tc>
          <w:tcPr>
            <w:tcW w:type="dxa" w:w="3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Timeout</w:t>
            </w:r>
          </w:p>
        </w:tc>
        <w:tc>
          <w:tcPr>
            <w:tcW w:type="dxa" w:w="6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300s</w:t>
            </w:r>
          </w:p>
        </w:tc>
      </w:tr>
    </w:tbl>
    <w:p>
      <w:pPr>
        <w:pStyle w:val="Heading2"/>
        <w:spacing w:after="50" w:before="180"/>
      </w:pPr>
      <w:r>
        <w:rPr>
          <w:rFonts w:ascii="Sora" w:cs="Sora" w:eastAsia="Sora" w:hAnsi="Sora"/>
          <w:b/>
          <w:bCs/>
          <w:color w:val="1A1A1A"/>
          <w:sz w:val="22"/>
          <w:szCs w:val="22"/>
        </w:rPr>
        <w:t xml:space="preserve">Supporting services</w:t>
      </w:r>
    </w:p>
    <w:tbl>
      <w:tblPr>
        <w:tblW w:type="dxa" w:w="9360"/>
        <w:tblBorders>
          <w:top w:val="none"/>
          <w:left w:val="none"/>
          <w:bottom w:val="none"/>
          <w:right w:val="none"/>
          <w:insideH w:val="none"/>
          <w:insideV w:val="none"/>
        </w:tblBorders>
      </w:tblPr>
      <w:tblGrid>
        <w:gridCol w:w="2600"/>
        <w:gridCol w:w="6760"/>
      </w:tblGrid>
      <w:tr>
        <w:trPr>
          <w:tblHeader/>
        </w:trPr>
        <w:tc>
          <w:tcPr>
            <w:tcW w:type="dxa" w:w="26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Service</w:t>
            </w:r>
          </w:p>
        </w:tc>
        <w:tc>
          <w:tcPr>
            <w:tcW w:type="dxa" w:w="67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Role</w:t>
            </w:r>
          </w:p>
        </w:tc>
      </w:tr>
      <w:tr>
        <w:tc>
          <w:tcPr>
            <w:tcW w:type="dxa" w:w="2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Neon Postgres</w:t>
            </w:r>
          </w:p>
        </w:tc>
        <w:tc>
          <w:tcPr>
            <w:tcW w:type="dxa" w:w="6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Free tier — n8n config + execution history, ~50–100MB used</w:t>
            </w:r>
          </w:p>
        </w:tc>
      </w:tr>
      <w:tr>
        <w:tc>
          <w:tcPr>
            <w:tcW w:type="dxa" w:w="2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Artifact Registry</w:t>
            </w:r>
          </w:p>
        </w:tc>
        <w:tc>
          <w:tcPr>
            <w:tcW w:type="dxa" w:w="6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Docker images for both Cloud Run services, us-east4</w:t>
            </w:r>
          </w:p>
        </w:tc>
      </w:tr>
      <w:tr>
        <w:tc>
          <w:tcPr>
            <w:tcW w:type="dxa" w:w="2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Secret Manager</w:t>
            </w:r>
          </w:p>
        </w:tc>
        <w:tc>
          <w:tcPr>
            <w:tcW w:type="dxa" w:w="6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n8n-encryption-key, n8n-database-url, attio-api-key</w:t>
            </w:r>
          </w:p>
        </w:tc>
      </w:tr>
      <w:tr>
        <w:tc>
          <w:tcPr>
            <w:tcW w:type="dxa" w:w="2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Google Apps Script</w:t>
            </w:r>
          </w:p>
        </w:tc>
        <w:tc>
          <w:tcPr>
            <w:tcW w:type="dxa" w:w="6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Drive folder watch (5 min), Sheet onChange, daily cron — free</w:t>
            </w:r>
          </w:p>
        </w:tc>
      </w:tr>
    </w:tbl>
    <w:p>
      <w:pPr>
        <w:pStyle w:val="Heading2"/>
        <w:spacing w:after="50" w:before="180"/>
      </w:pPr>
      <w:r>
        <w:rPr>
          <w:rFonts w:ascii="Sora" w:cs="Sora" w:eastAsia="Sora" w:hAnsi="Sora"/>
          <w:b/>
          <w:bCs/>
          <w:color w:val="1A1A1A"/>
          <w:sz w:val="22"/>
          <w:szCs w:val="22"/>
        </w:rPr>
        <w:t xml:space="preserve">IAM roles required (Oscar's account)</w:t>
      </w:r>
    </w:p>
    <w:tbl>
      <w:tblPr>
        <w:tblW w:type="dxa" w:w="9360"/>
        <w:tblBorders>
          <w:top w:val="none"/>
          <w:left w:val="none"/>
          <w:bottom w:val="none"/>
          <w:right w:val="none"/>
          <w:insideH w:val="none"/>
          <w:insideV w:val="none"/>
        </w:tblBorders>
      </w:tblPr>
      <w:tblGrid>
        <w:gridCol w:w="3600"/>
        <w:gridCol w:w="5760"/>
      </w:tblGrid>
      <w:tr>
        <w:trPr>
          <w:tblHeader/>
        </w:trPr>
        <w:tc>
          <w:tcPr>
            <w:tcW w:type="dxa" w:w="36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Role</w:t>
            </w:r>
          </w:p>
        </w:tc>
        <w:tc>
          <w:tcPr>
            <w:tcW w:type="dxa" w:w="57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Purpose</w:t>
            </w:r>
          </w:p>
        </w:tc>
      </w:tr>
      <w:tr>
        <w:tc>
          <w:tcPr>
            <w:tcW w:type="dxa" w:w="3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roles/run.admin</w:t>
            </w:r>
          </w:p>
        </w:tc>
        <w:tc>
          <w:tcPr>
            <w:tcW w:type="dxa" w:w="5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Deploy and manage Cloud Run services</w:t>
            </w:r>
          </w:p>
        </w:tc>
      </w:tr>
      <w:tr>
        <w:tc>
          <w:tcPr>
            <w:tcW w:type="dxa" w:w="3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roles/artifactregistry.admin</w:t>
            </w:r>
          </w:p>
        </w:tc>
        <w:tc>
          <w:tcPr>
            <w:tcW w:type="dxa" w:w="5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Push Docker images</w:t>
            </w:r>
          </w:p>
        </w:tc>
      </w:tr>
      <w:tr>
        <w:tc>
          <w:tcPr>
            <w:tcW w:type="dxa" w:w="3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roles/secretmanager.admin</w:t>
            </w:r>
          </w:p>
        </w:tc>
        <w:tc>
          <w:tcPr>
            <w:tcW w:type="dxa" w:w="5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Create and update secrets</w:t>
            </w:r>
          </w:p>
        </w:tc>
      </w:tr>
      <w:tr>
        <w:tc>
          <w:tcPr>
            <w:tcW w:type="dxa" w:w="3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roles/cloudbuild.builds.editor</w:t>
            </w:r>
          </w:p>
        </w:tc>
        <w:tc>
          <w:tcPr>
            <w:tcW w:type="dxa" w:w="5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Submit builds via Cloud Build</w:t>
            </w:r>
          </w:p>
        </w:tc>
      </w:tr>
      <w:tr>
        <w:tc>
          <w:tcPr>
            <w:tcW w:type="dxa" w:w="3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roles/iam.serviceAccountUser</w:t>
            </w:r>
          </w:p>
        </w:tc>
        <w:tc>
          <w:tcPr>
            <w:tcW w:type="dxa" w:w="5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Deploy as the compute service account</w:t>
            </w:r>
          </w:p>
        </w:tc>
      </w:tr>
      <w:tr>
        <w:tc>
          <w:tcPr>
            <w:tcW w:type="dxa" w:w="36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roles/logging.viewer</w:t>
            </w:r>
          </w:p>
        </w:tc>
        <w:tc>
          <w:tcPr>
            <w:tcW w:type="dxa" w:w="5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Read Cloud Run logs for debugging</w:t>
            </w:r>
          </w:p>
        </w:tc>
      </w:tr>
    </w:tbl>
    <w:p>
      <w:pPr>
        <w:pStyle w:val="Heading1"/>
        <w:pBdr>
          <w:bottom w:val="single" w:color="1A1A1A" w:sz="6" w:space="6"/>
        </w:pBdr>
        <w:spacing w:after="90" w:before="320"/>
      </w:pPr>
      <w:r>
        <w:rPr>
          <w:rFonts w:ascii="Sora" w:cs="Sora" w:eastAsia="Sora" w:hAnsi="Sora"/>
          <w:color w:val="828282"/>
          <w:sz w:val="20"/>
          <w:szCs w:val="20"/>
        </w:rPr>
        <w:t xml:space="preserve">06   </w:t>
      </w:r>
      <w:r>
        <w:rPr>
          <w:rFonts w:ascii="Roboto Serif" w:cs="Roboto Serif" w:eastAsia="Roboto Serif" w:hAnsi="Roboto Serif"/>
          <w:b/>
          <w:bCs/>
          <w:color w:val="1A1A1A"/>
          <w:sz w:val="28"/>
          <w:szCs w:val="28"/>
        </w:rPr>
        <w:t xml:space="preserve">Platforms, cost, and access</w:t>
      </w:r>
    </w:p>
    <w:p>
      <w:pPr>
        <w:pStyle w:val="Heading2"/>
        <w:spacing w:after="50" w:before="180"/>
      </w:pPr>
      <w:r>
        <w:rPr>
          <w:rFonts w:ascii="Sora" w:cs="Sora" w:eastAsia="Sora" w:hAnsi="Sora"/>
          <w:b/>
          <w:bCs/>
          <w:color w:val="1A1A1A"/>
          <w:sz w:val="22"/>
          <w:szCs w:val="22"/>
        </w:rPr>
        <w:t xml:space="preserve">Data sources and access</w:t>
      </w:r>
    </w:p>
    <w:tbl>
      <w:tblPr>
        <w:tblW w:type="dxa" w:w="9360"/>
        <w:tblBorders>
          <w:top w:val="none"/>
          <w:left w:val="none"/>
          <w:bottom w:val="none"/>
          <w:right w:val="none"/>
          <w:insideH w:val="none"/>
          <w:insideV w:val="none"/>
        </w:tblBorders>
      </w:tblPr>
      <w:tblGrid>
        <w:gridCol w:w="2200"/>
        <w:gridCol w:w="4360"/>
        <w:gridCol w:w="2800"/>
      </w:tblGrid>
      <w:tr>
        <w:trPr>
          <w:tblHeader/>
        </w:trPr>
        <w:tc>
          <w:tcPr>
            <w:tcW w:type="dxa" w:w="22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Source</w:t>
            </w:r>
          </w:p>
        </w:tc>
        <w:tc>
          <w:tcPr>
            <w:tcW w:type="dxa" w:w="43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Used by</w:t>
            </w:r>
          </w:p>
        </w:tc>
        <w:tc>
          <w:tcPr>
            <w:tcW w:type="dxa" w:w="28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Access</w:t>
            </w:r>
          </w:p>
        </w:tc>
      </w:tr>
      <w:tr>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PitchBook</w:t>
            </w:r>
          </w:p>
        </w:tc>
        <w:tc>
          <w:tcPr>
            <w:tcW w:type="dxa" w:w="4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Pipeline, Deal Intelligence</w:t>
            </w:r>
          </w:p>
        </w:tc>
        <w:tc>
          <w:tcPr>
            <w:tcW w:type="dxa" w:w="28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MCP</w:t>
            </w:r>
          </w:p>
        </w:tc>
      </w:tr>
      <w:tr>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Apollo</w:t>
            </w:r>
          </w:p>
        </w:tc>
        <w:tc>
          <w:tcPr>
            <w:tcW w:type="dxa" w:w="4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Apollo Reach Out</w:t>
            </w:r>
          </w:p>
        </w:tc>
        <w:tc>
          <w:tcPr>
            <w:tcW w:type="dxa" w:w="28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Master API key</w:t>
            </w:r>
          </w:p>
        </w:tc>
      </w:tr>
      <w:tr>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Attio</w:t>
            </w:r>
          </w:p>
        </w:tc>
        <w:tc>
          <w:tcPr>
            <w:tcW w:type="dxa" w:w="4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Pipeline, Apollo</w:t>
            </w:r>
          </w:p>
        </w:tc>
        <w:tc>
          <w:tcPr>
            <w:tcW w:type="dxa" w:w="28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API key</w:t>
            </w:r>
          </w:p>
        </w:tc>
      </w:tr>
      <w:tr>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Perplexity</w:t>
            </w:r>
          </w:p>
        </w:tc>
        <w:tc>
          <w:tcPr>
            <w:tcW w:type="dxa" w:w="4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Apollo enrichment, Deal Intelligence</w:t>
            </w:r>
          </w:p>
        </w:tc>
        <w:tc>
          <w:tcPr>
            <w:tcW w:type="dxa" w:w="28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API key</w:t>
            </w:r>
          </w:p>
        </w:tc>
      </w:tr>
      <w:tr>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Anthropic</w:t>
            </w:r>
          </w:p>
        </w:tc>
        <w:tc>
          <w:tcPr>
            <w:tcW w:type="dxa" w:w="4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Deal Intelligence</w:t>
            </w:r>
          </w:p>
        </w:tc>
        <w:tc>
          <w:tcPr>
            <w:tcW w:type="dxa" w:w="28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API key</w:t>
            </w:r>
          </w:p>
        </w:tc>
      </w:tr>
    </w:tbl>
    <w:p>
      <w:pPr>
        <w:pStyle w:val="Heading2"/>
        <w:spacing w:after="50" w:before="180"/>
      </w:pPr>
      <w:r>
        <w:rPr>
          <w:rFonts w:ascii="Sora" w:cs="Sora" w:eastAsia="Sora" w:hAnsi="Sora"/>
          <w:b/>
          <w:bCs/>
          <w:color w:val="1A1A1A"/>
          <w:sz w:val="22"/>
          <w:szCs w:val="22"/>
        </w:rPr>
        <w:t xml:space="preserve">Monthly cost</w:t>
      </w:r>
    </w:p>
    <w:tbl>
      <w:tblPr>
        <w:tblW w:type="dxa" w:w="9360"/>
        <w:tblBorders>
          <w:top w:val="none"/>
          <w:left w:val="none"/>
          <w:bottom w:val="none"/>
          <w:right w:val="none"/>
          <w:insideH w:val="none"/>
          <w:insideV w:val="none"/>
        </w:tblBorders>
      </w:tblPr>
      <w:tblGrid>
        <w:gridCol w:w="3200"/>
        <w:gridCol w:w="3760"/>
        <w:gridCol w:w="2400"/>
      </w:tblGrid>
      <w:tr>
        <w:trPr>
          <w:tblHeader/>
        </w:trPr>
        <w:tc>
          <w:tcPr>
            <w:tcW w:type="dxa" w:w="32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Item</w:t>
            </w:r>
          </w:p>
        </w:tc>
        <w:tc>
          <w:tcPr>
            <w:tcW w:type="dxa" w:w="37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Config</w:t>
            </w:r>
          </w:p>
        </w:tc>
        <w:tc>
          <w:tcPr>
            <w:tcW w:type="dxa" w:w="24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$/mo</w:t>
            </w:r>
          </w:p>
        </w:tc>
      </w:tr>
      <w:tr>
        <w:tc>
          <w:tcPr>
            <w:tcW w:type="dxa" w:w="3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n8n — Cloud Run</w:t>
            </w:r>
          </w:p>
        </w:tc>
        <w:tc>
          <w:tcPr>
            <w:tcW w:type="dxa" w:w="3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1 vCPU/1Gi, min=1</w:t>
            </w:r>
          </w:p>
        </w:tc>
        <w:tc>
          <w:tcPr>
            <w:tcW w:type="dxa" w:w="2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~$9</w:t>
            </w:r>
          </w:p>
        </w:tc>
      </w:tr>
      <w:tr>
        <w:tc>
          <w:tcPr>
            <w:tcW w:type="dxa" w:w="3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app.py — Cloud Run</w:t>
            </w:r>
          </w:p>
        </w:tc>
        <w:tc>
          <w:tcPr>
            <w:tcW w:type="dxa" w:w="3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1 vCPU/512Mi, min=0</w:t>
            </w:r>
          </w:p>
        </w:tc>
        <w:tc>
          <w:tcPr>
            <w:tcW w:type="dxa" w:w="2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~$1</w:t>
            </w:r>
          </w:p>
        </w:tc>
      </w:tr>
      <w:tr>
        <w:tc>
          <w:tcPr>
            <w:tcW w:type="dxa" w:w="3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Neon Postgres</w:t>
            </w:r>
          </w:p>
        </w:tc>
        <w:tc>
          <w:tcPr>
            <w:tcW w:type="dxa" w:w="3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Free tier</w:t>
            </w:r>
          </w:p>
        </w:tc>
        <w:tc>
          <w:tcPr>
            <w:tcW w:type="dxa" w:w="2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$0</w:t>
            </w:r>
          </w:p>
        </w:tc>
      </w:tr>
      <w:tr>
        <w:tc>
          <w:tcPr>
            <w:tcW w:type="dxa" w:w="3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Artifact Registry</w:t>
            </w:r>
          </w:p>
        </w:tc>
        <w:tc>
          <w:tcPr>
            <w:tcW w:type="dxa" w:w="3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2 images, ~2GB</w:t>
            </w:r>
          </w:p>
        </w:tc>
        <w:tc>
          <w:tcPr>
            <w:tcW w:type="dxa" w:w="2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~$0.10</w:t>
            </w:r>
          </w:p>
        </w:tc>
      </w:tr>
      <w:tr>
        <w:tc>
          <w:tcPr>
            <w:tcW w:type="dxa" w:w="3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Secret Manager</w:t>
            </w:r>
          </w:p>
        </w:tc>
        <w:tc>
          <w:tcPr>
            <w:tcW w:type="dxa" w:w="3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3 secrets</w:t>
            </w:r>
          </w:p>
        </w:tc>
        <w:tc>
          <w:tcPr>
            <w:tcW w:type="dxa" w:w="2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~$0.10</w:t>
            </w:r>
          </w:p>
        </w:tc>
      </w:tr>
      <w:tr>
        <w:tc>
          <w:tcPr>
            <w:tcW w:type="dxa" w:w="3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RSS / SEC EDGAR / GDELT</w:t>
            </w:r>
          </w:p>
        </w:tc>
        <w:tc>
          <w:tcPr>
            <w:tcW w:type="dxa" w:w="3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Free public APIs</w:t>
            </w:r>
          </w:p>
        </w:tc>
        <w:tc>
          <w:tcPr>
            <w:tcW w:type="dxa" w:w="2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$0</w:t>
            </w:r>
          </w:p>
        </w:tc>
      </w:tr>
      <w:tr>
        <w:tc>
          <w:tcPr>
            <w:tcW w:type="dxa" w:w="3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Perplexity (AI usage)</w:t>
            </w:r>
          </w:p>
        </w:tc>
        <w:tc>
          <w:tcPr>
            <w:tcW w:type="dxa" w:w="3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Pay-as-you-go</w:t>
            </w:r>
          </w:p>
        </w:tc>
        <w:tc>
          <w:tcPr>
            <w:tcW w:type="dxa" w:w="2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~$2–3</w:t>
            </w:r>
          </w:p>
        </w:tc>
      </w:tr>
      <w:tr>
        <w:tc>
          <w:tcPr>
            <w:tcW w:type="dxa" w:w="3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Anthropic (AI usage)</w:t>
            </w:r>
          </w:p>
        </w:tc>
        <w:tc>
          <w:tcPr>
            <w:tcW w:type="dxa" w:w="37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Pay-as-you-go</w:t>
            </w:r>
          </w:p>
        </w:tc>
        <w:tc>
          <w:tcPr>
            <w:tcW w:type="dxa" w:w="24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Usage-based</w:t>
            </w:r>
          </w:p>
        </w:tc>
      </w:tr>
    </w:tbl>
    <w:p>
      <w:pPr>
        <w:spacing w:after="100" w:before="40"/>
      </w:pPr>
      <w:r>
        <w:rPr>
          <w:rFonts w:ascii="Sora" w:cs="Sora" w:eastAsia="Sora" w:hAnsi="Sora"/>
          <w:b/>
          <w:bCs/>
          <w:caps/>
          <w:color w:val="1A1A1A"/>
          <w:spacing w:val="40"/>
          <w:sz w:val="18"/>
          <w:szCs w:val="18"/>
        </w:rPr>
        <w:t xml:space="preserve">Note  </w:t>
      </w:r>
      <w:r>
        <w:rPr>
          <w:rFonts w:ascii="Sora" w:cs="Sora" w:eastAsia="Sora" w:hAnsi="Sora"/>
          <w:color w:val="1A1A1A"/>
          <w:sz w:val="21"/>
          <w:szCs w:val="21"/>
        </w:rPr>
        <w:t xml:space="preserve">Infrastructure + AI usage totals ~$12–15/mo. Attio, Apollo, and PitchBook are existing firm subscriptions, not new spend. A single Zapier Business seat alone is $69/mo; Make and n8n Cloud run $50–300/mo and would not cover the Deal Intelligence layer at all.</w:t>
      </w:r>
    </w:p>
    <w:p>
      <w:pPr>
        <w:pStyle w:val="Heading2"/>
        <w:spacing w:after="50" w:before="180"/>
      </w:pPr>
      <w:r>
        <w:rPr>
          <w:rFonts w:ascii="Sora" w:cs="Sora" w:eastAsia="Sora" w:hAnsi="Sora"/>
          <w:b/>
          <w:bCs/>
          <w:color w:val="1A1A1A"/>
          <w:sz w:val="22"/>
          <w:szCs w:val="22"/>
        </w:rPr>
        <w:t xml:space="preserve">Access needed to proceed</w:t>
      </w:r>
    </w:p>
    <w:p>
      <w:pPr>
        <w:pStyle w:val="ListParagraph"/>
        <w:numPr>
          <w:ilvl w:val="0"/>
          <w:numId w:val="2"/>
        </w:numPr>
        <w:spacing w:after="24"/>
      </w:pPr>
      <w:r>
        <w:rPr>
          <w:rFonts w:ascii="Sora" w:cs="Sora" w:eastAsia="Sora" w:hAnsi="Sora"/>
          <w:color w:val="1A1A1A"/>
          <w:sz w:val="21"/>
          <w:szCs w:val="21"/>
        </w:rPr>
        <w:t xml:space="preserve">GCP project created, billing enabled (suggested name: id8-pipeline)</w:t>
      </w:r>
    </w:p>
    <w:p>
      <w:pPr>
        <w:pStyle w:val="ListParagraph"/>
        <w:numPr>
          <w:ilvl w:val="0"/>
          <w:numId w:val="2"/>
        </w:numPr>
        <w:spacing w:after="24"/>
      </w:pPr>
      <w:r>
        <w:rPr>
          <w:rFonts w:ascii="Sora" w:cs="Sora" w:eastAsia="Sora" w:hAnsi="Sora"/>
          <w:color w:val="1A1A1A"/>
          <w:sz w:val="21"/>
          <w:szCs w:val="21"/>
        </w:rPr>
        <w:t xml:space="preserve">Oscar granted Owner IAM role on the project</w:t>
      </w:r>
    </w:p>
    <w:p>
      <w:pPr>
        <w:pStyle w:val="ListParagraph"/>
        <w:numPr>
          <w:ilvl w:val="0"/>
          <w:numId w:val="2"/>
        </w:numPr>
        <w:spacing w:after="24"/>
      </w:pPr>
      <w:r>
        <w:rPr>
          <w:rFonts w:ascii="Sora" w:cs="Sora" w:eastAsia="Sora" w:hAnsi="Sora"/>
          <w:color w:val="1A1A1A"/>
          <w:sz w:val="21"/>
          <w:szCs w:val="21"/>
        </w:rPr>
        <w:t xml:space="preserve">OAuth consent screen configured — Internal, app name "ID8 Pipeline"</w:t>
      </w:r>
    </w:p>
    <w:p>
      <w:pPr>
        <w:pStyle w:val="ListParagraph"/>
        <w:numPr>
          <w:ilvl w:val="0"/>
          <w:numId w:val="2"/>
        </w:numPr>
        <w:spacing w:after="24"/>
      </w:pPr>
      <w:r>
        <w:rPr>
          <w:rFonts w:ascii="Sora" w:cs="Sora" w:eastAsia="Sora" w:hAnsi="Sora"/>
          <w:color w:val="1A1A1A"/>
          <w:sz w:val="21"/>
          <w:szCs w:val="21"/>
        </w:rPr>
        <w:t xml:space="preserve">OAuth redirect URI added after first deploy (Oscar provides the URL)</w:t>
      </w:r>
    </w:p>
    <w:p>
      <w:pPr>
        <w:pStyle w:val="ListParagraph"/>
        <w:numPr>
          <w:ilvl w:val="0"/>
          <w:numId w:val="2"/>
        </w:numPr>
        <w:spacing w:after="24"/>
      </w:pPr>
      <w:r>
        <w:rPr>
          <w:rFonts w:ascii="Sora" w:cs="Sora" w:eastAsia="Sora" w:hAnsi="Sora"/>
          <w:color w:val="1A1A1A"/>
          <w:sz w:val="21"/>
          <w:szCs w:val="21"/>
        </w:rPr>
        <w:t xml:space="preserve">Neon account — Oscar self-serve, free tier, no action needed from owner</w:t>
      </w:r>
    </w:p>
    <w:p>
      <w:pPr>
        <w:pStyle w:val="Heading2"/>
        <w:spacing w:after="50" w:before="180"/>
      </w:pPr>
      <w:r>
        <w:rPr>
          <w:rFonts w:ascii="Sora" w:cs="Sora" w:eastAsia="Sora" w:hAnsi="Sora"/>
          <w:b/>
          <w:bCs/>
          <w:color w:val="1A1A1A"/>
          <w:sz w:val="22"/>
          <w:szCs w:val="22"/>
        </w:rPr>
        <w:t xml:space="preserve">Timeline</w:t>
      </w:r>
    </w:p>
    <w:tbl>
      <w:tblPr>
        <w:tblW w:type="dxa" w:w="9360"/>
        <w:tblBorders>
          <w:top w:val="none"/>
          <w:left w:val="none"/>
          <w:bottom w:val="none"/>
          <w:right w:val="none"/>
          <w:insideH w:val="none"/>
          <w:insideV w:val="none"/>
        </w:tblBorders>
      </w:tblPr>
      <w:tblGrid>
        <w:gridCol w:w="800"/>
        <w:gridCol w:w="4360"/>
        <w:gridCol w:w="2200"/>
        <w:gridCol w:w="2000"/>
      </w:tblGrid>
      <w:tr>
        <w:trPr>
          <w:tblHeader/>
        </w:trPr>
        <w:tc>
          <w:tcPr>
            <w:tcW w:type="dxa" w:w="8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Phase</w:t>
            </w:r>
          </w:p>
        </w:tc>
        <w:tc>
          <w:tcPr>
            <w:tcW w:type="dxa" w:w="436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What</w:t>
            </w:r>
          </w:p>
        </w:tc>
        <w:tc>
          <w:tcPr>
            <w:tcW w:type="dxa" w:w="22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Who</w:t>
            </w:r>
          </w:p>
        </w:tc>
        <w:tc>
          <w:tcPr>
            <w:tcW w:type="dxa" w:w="2000"/>
            <w:tcBorders>
              <w:top w:val="none"/>
              <w:left w:val="none"/>
              <w:bottom w:val="single" w:color="1A1A1A" w:sz="8"/>
              <w:right w:val="none"/>
            </w:tcBorders>
            <w:tcMar>
              <w:top w:type="dxa" w:w="20"/>
              <w:left w:type="dxa" w:w="0"/>
              <w:bottom w:type="dxa" w:w="50"/>
              <w:right w:type="dxa" w:w="160"/>
            </w:tcMar>
          </w:tcPr>
          <w:p>
            <w:r>
              <w:rPr>
                <w:rFonts w:ascii="Sora" w:cs="Sora" w:eastAsia="Sora" w:hAnsi="Sora"/>
                <w:b/>
                <w:bCs/>
                <w:caps/>
                <w:color w:val="1A1A1A"/>
                <w:spacing w:val="50"/>
                <w:sz w:val="15"/>
                <w:szCs w:val="15"/>
              </w:rPr>
              <w:t xml:space="preserve">Time</w:t>
            </w:r>
          </w:p>
        </w:tc>
      </w:tr>
      <w:tr>
        <w:tc>
          <w:tcPr>
            <w:tcW w:type="dxa" w:w="8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1</w:t>
            </w:r>
          </w:p>
        </w:tc>
        <w:tc>
          <w:tcPr>
            <w:tcW w:type="dxa" w:w="4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GCP project setup + grant access</w:t>
            </w:r>
          </w:p>
        </w:tc>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Account owner</w:t>
            </w:r>
          </w:p>
        </w:tc>
        <w:tc>
          <w:tcPr>
            <w:tcW w:type="dxa" w:w="2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30 min</w:t>
            </w:r>
          </w:p>
        </w:tc>
      </w:tr>
      <w:tr>
        <w:tc>
          <w:tcPr>
            <w:tcW w:type="dxa" w:w="8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2</w:t>
            </w:r>
          </w:p>
        </w:tc>
        <w:tc>
          <w:tcPr>
            <w:tcW w:type="dxa" w:w="4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Deploy n8n</w:t>
            </w:r>
          </w:p>
        </w:tc>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Oscar</w:t>
            </w:r>
          </w:p>
        </w:tc>
        <w:tc>
          <w:tcPr>
            <w:tcW w:type="dxa" w:w="2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1–2 hrs</w:t>
            </w:r>
          </w:p>
        </w:tc>
      </w:tr>
      <w:tr>
        <w:tc>
          <w:tcPr>
            <w:tcW w:type="dxa" w:w="8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3</w:t>
            </w:r>
          </w:p>
        </w:tc>
        <w:tc>
          <w:tcPr>
            <w:tcW w:type="dxa" w:w="4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Deploy data pipeline, re-auth credentials</w:t>
            </w:r>
          </w:p>
        </w:tc>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Oscar</w:t>
            </w:r>
          </w:p>
        </w:tc>
        <w:tc>
          <w:tcPr>
            <w:tcW w:type="dxa" w:w="2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1 hr</w:t>
            </w:r>
          </w:p>
        </w:tc>
      </w:tr>
      <w:tr>
        <w:tc>
          <w:tcPr>
            <w:tcW w:type="dxa" w:w="8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4</w:t>
            </w:r>
          </w:p>
        </w:tc>
        <w:tc>
          <w:tcPr>
            <w:tcW w:type="dxa" w:w="4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Build intelligence workflows ⑤–⑧</w:t>
            </w:r>
          </w:p>
        </w:tc>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Oscar</w:t>
            </w:r>
          </w:p>
        </w:tc>
        <w:tc>
          <w:tcPr>
            <w:tcW w:type="dxa" w:w="2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2–3 hrs</w:t>
            </w:r>
          </w:p>
        </w:tc>
      </w:tr>
      <w:tr>
        <w:tc>
          <w:tcPr>
            <w:tcW w:type="dxa" w:w="8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1A1A1A"/>
                <w:sz w:val="19"/>
                <w:szCs w:val="19"/>
              </w:rPr>
              <w:t xml:space="preserve">5</w:t>
            </w:r>
          </w:p>
        </w:tc>
        <w:tc>
          <w:tcPr>
            <w:tcW w:type="dxa" w:w="436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Test end-to-end, cut over from local</w:t>
            </w:r>
          </w:p>
        </w:tc>
        <w:tc>
          <w:tcPr>
            <w:tcW w:type="dxa" w:w="22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Oscar</w:t>
            </w:r>
          </w:p>
        </w:tc>
        <w:tc>
          <w:tcPr>
            <w:tcW w:type="dxa" w:w="2000"/>
            <w:tcBorders>
              <w:top w:val="none"/>
              <w:left w:val="none"/>
              <w:bottom w:val="single" w:color="E4DFD5" w:sz="4"/>
              <w:right w:val="none"/>
            </w:tcBorders>
            <w:tcMar>
              <w:top w:type="dxa" w:w="50"/>
              <w:left w:type="dxa" w:w="0"/>
              <w:bottom w:type="dxa" w:w="50"/>
              <w:right w:type="dxa" w:w="160"/>
            </w:tcMar>
            <w:vAlign w:val="top"/>
          </w:tcPr>
          <w:p>
            <w:pPr>
              <w:spacing w:after="0"/>
            </w:pPr>
            <w:r>
              <w:rPr>
                <w:rFonts w:ascii="Sora" w:cs="Sora" w:eastAsia="Sora" w:hAnsi="Sora"/>
                <w:color w:val="3C3C3C"/>
                <w:sz w:val="19"/>
                <w:szCs w:val="19"/>
              </w:rPr>
              <w:t xml:space="preserve">1 hr</w:t>
            </w:r>
          </w:p>
        </w:tc>
      </w:tr>
    </w:tbl>
    <w:p>
      <w:pPr>
        <w:spacing w:after="80"/>
      </w:pPr>
      <w:r>
        <w:rPr>
          <w:rFonts w:ascii="Sora" w:cs="Sora" w:eastAsia="Sora" w:hAnsi="Sora"/>
          <w:color w:val="1A1A1A"/>
          <w:sz w:val="21"/>
          <w:szCs w:val="21"/>
        </w:rPr>
        <w:t xml:space="default"/>
      </w:r>
    </w:p>
    <w:p>
      <w:pPr>
        <w:pBdr>
          <w:top w:val="single" w:color="E4DFD5" w:sz="4" w:space="8"/>
        </w:pBdr>
        <w:spacing w:before="600"/>
      </w:pPr>
    </w:p>
    <w:p>
      <w:pPr>
        <w:spacing w:before="120"/>
      </w:pPr>
      <w:r>
        <w:drawing>
          <wp:inline distT="0" distB="0" distL="0" distR="0">
            <wp:extent cx="1428750" cy="142875"/>
            <wp:effectExtent t="0" r="0" b="0" l="0"/>
            <wp:docPr id="1" name="logo" descr="ID8 logo" title="I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42875"/>
                    </a:xfrm>
                    <a:prstGeom prst="rect">
                      <a:avLst/>
                    </a:prstGeom>
                  </pic:spPr>
                </pic:pic>
              </a:graphicData>
            </a:graphic>
          </wp:inline>
        </w:drawing>
      </w:r>
    </w:p>
    <w:p>
      <w:pPr>
        <w:spacing w:before="40"/>
      </w:pPr>
      <w:r>
        <w:rPr>
          <w:rFonts w:ascii="Roboto Serif" w:cs="Roboto Serif" w:eastAsia="Roboto Serif" w:hAnsi="Roboto Serif"/>
          <w:i/>
          <w:iCs/>
          <w:color w:val="1A1A1A"/>
          <w:sz w:val="22"/>
          <w:szCs w:val="22"/>
        </w:rPr>
        <w:t xml:space="preserve">Ambitious ideas.</w:t>
      </w:r>
    </w:p>
    <w:p>
      <w:pPr>
        <w:spacing w:before="20"/>
      </w:pPr>
      <w:r>
        <w:rPr>
          <w:rFonts w:ascii="Sora" w:cs="Sora" w:eastAsia="Sora" w:hAnsi="Sora"/>
          <w:color w:val="828282"/>
          <w:sz w:val="16"/>
          <w:szCs w:val="16"/>
        </w:rPr>
        <w:t xml:space="preserve">id8investments.com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DFD5" w:sz="4" w:space="6"/>
      </w:pBdr>
      <w:tabs>
        <w:tab w:val="right" w:pos="9360"/>
      </w:tabs>
    </w:pPr>
    <w:r>
      <w:rPr>
        <w:rFonts w:ascii="Sora" w:cs="Sora" w:eastAsia="Sora" w:hAnsi="Sora"/>
        <w:color w:val="828282"/>
        <w:sz w:val="15"/>
        <w:szCs w:val="15"/>
      </w:rPr>
      <w:t xml:space="preserve">ID8 Investments  |  Confidential</w:t>
    </w:r>
    <w:r>
      <w:rPr>
        <w:rFonts w:ascii="Sora" w:cs="Sora" w:eastAsia="Sora" w:hAnsi="Sora"/>
        <w:sz w:val="15"/>
        <w:szCs w:val="15"/>
      </w:rPr>
      <w:t xml:space="preserve">	</w:t>
    </w:r>
    <w:r>
      <w:rPr>
        <w:rFonts w:ascii="Sora" w:cs="Sora" w:eastAsia="Sora" w:hAnsi="Sora"/>
        <w:color w:val="82828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Sora" w:cs="Sora" w:eastAsia="Sora" w:hAnsi="Sora"/>
        <w:color w:val="828282"/>
      </w:rPr>
    </w:lvl>
  </w:abstractNum>
  <w:abstractNum w:abstractNumId="3" w15:restartNumberingAfterBreak="0">
    <w:multiLevelType w:val="hybridMultilevel"/>
    <w:lvl w:ilvl="0" w15:tentative="1">
      <w:start w:val="1"/>
      <w:numFmt w:val="decimal"/>
      <w:lvlText w:val="%1"/>
      <w:lvlJc w:val="left"/>
      <w:pPr>
        <w:ind w:left="360" w:hanging="220"/>
      </w:pPr>
      <w:rPr>
        <w:color w:val="82828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ra" w:cs="Sora" w:eastAsia="Sora" w:hAnsi="Sor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320"/>
      <w:outlineLvl w:val="0"/>
    </w:pPr>
    <w:rPr>
      <w:rFonts w:ascii="Roboto Serif" w:cs="Roboto Serif" w:eastAsia="Roboto Serif" w:hAnsi="Roboto Serif"/>
      <w:b/>
      <w:bCs/>
      <w:color w:val="1A1A1A"/>
      <w:sz w:val="28"/>
      <w:szCs w:val="28"/>
    </w:rPr>
  </w:style>
  <w:style w:type="paragraph" w:styleId="Heading2">
    <w:name w:val="Heading 2"/>
    <w:basedOn w:val="Normal"/>
    <w:next w:val="Normal"/>
    <w:qFormat/>
    <w:pPr>
      <w:spacing w:after="50" w:before="180"/>
      <w:outlineLvl w:val="1"/>
    </w:pPr>
    <w:rPr>
      <w:rFonts w:ascii="Sora" w:cs="Sora" w:eastAsia="Sora" w:hAnsi="Sora"/>
      <w:b/>
      <w:bCs/>
      <w:color w:val="1A1A1A"/>
      <w:sz w:val="22"/>
      <w:szCs w:val="22"/>
    </w:rPr>
  </w:style>
  <w:style w:type="paragraph" w:styleId="Heading3">
    <w:name w:val="Heading 3"/>
    <w:basedOn w:val="Normal"/>
    <w:next w:val="Normal"/>
    <w:qFormat/>
    <w:pPr>
      <w:spacing w:after="40" w:before="120"/>
      <w:outlineLvl w:val="2"/>
    </w:pPr>
    <w:rPr>
      <w:rFonts w:ascii="Sora" w:cs="Sora" w:eastAsia="Sora" w:hAnsi="Sora"/>
      <w:b/>
      <w:bCs/>
      <w:color w:val="3C3C3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8883d79edecd112523c3555b4a55dd3f0ca235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2026-06-24T13:32:21.270Z</dcterms:created>
  <dcterms:modified xsi:type="dcterms:W3CDTF">2026-06-24T13:32:21.272Z</dcterms:modified>
</cp:coreProperties>
</file>

<file path=docProps/custom.xml><?xml version="1.0" encoding="utf-8"?>
<Properties xmlns="http://schemas.openxmlformats.org/officeDocument/2006/custom-properties" xmlns:vt="http://schemas.openxmlformats.org/officeDocument/2006/docPropsVTypes"/>
</file>