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Roboto Serif" w:hAnsi="Roboto Serif"/>
          <w:b/>
          <w:caps w:val="0"/>
          <w:color w:val="1A1A1A"/>
          <w:sz w:val="48"/>
        </w:rPr>
        <w:t>Assort Health</w:t>
      </w:r>
    </w:p>
    <w:p>
      <w:pPr>
        <w:spacing w:after="80"/>
      </w:pPr>
      <w:r>
        <w:rPr>
          <w:rFonts w:ascii="Sora" w:hAnsi="Sora"/>
          <w:b w:val="0"/>
          <w:caps w:val="0"/>
          <w:color w:val="828282"/>
          <w:sz w:val="22"/>
        </w:rPr>
        <w:t>assorthealth.com   ·   Series C   ·   San Francisco, CA   ·   Menlo Ventures</w:t>
      </w:r>
    </w:p>
    <w:p>
      <w:pPr>
        <w:spacing w:after="320"/>
        <w:pBdr>
          <w:bottom w:val="single" w:sz="6" w:color="1A1A1A" w:space="4"/>
        </w:pBdr>
      </w:pPr>
    </w:p>
    <w:p>
      <w:pPr>
        <w:spacing w:after="200"/>
      </w:pPr>
      <w:r>
        <w:rPr>
          <w:rFonts w:ascii="Roboto Serif" w:hAnsi="Roboto Serif"/>
          <w:b/>
          <w:caps w:val="0"/>
          <w:color w:val="1A1A1A"/>
          <w:sz w:val="30"/>
        </w:rPr>
        <w:t>Fit score 3.2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CLEARS GATE  ·  HIGH QUALITY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tcBorders>
              <w:top w:val="nil"/>
              <w:left w:val="nil"/>
              <w:right w:val="nil"/>
              <w:bottom w:val="single" w:sz="8" w:color="1A1A1A"/>
            </w:tcBorders>
          </w:tcPr>
          <w:p>
            <w:r>
              <w:rPr>
                <w:rFonts w:ascii="Sora" w:hAnsi="Sora"/>
                <w:b/>
                <w:caps/>
                <w:color w:val="1A1A1A"/>
                <w:sz w:val="17"/>
              </w:rPr>
              <w:t>Dimension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8" w:color="1A1A1A"/>
            </w:tcBorders>
          </w:tcPr>
          <w:p>
            <w:r>
              <w:rPr>
                <w:rFonts w:ascii="Sora" w:hAnsi="Sora"/>
                <w:b/>
                <w:caps/>
                <w:color w:val="1A1A1A"/>
                <w:sz w:val="17"/>
              </w:rPr>
              <w:t>Score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8" w:color="1A1A1A"/>
            </w:tcBorders>
          </w:tcPr>
          <w:p>
            <w:r>
              <w:rPr>
                <w:rFonts w:ascii="Sora" w:hAnsi="Sora"/>
                <w:b/>
                <w:caps/>
                <w:color w:val="1A1A1A"/>
                <w:sz w:val="17"/>
              </w:rPr>
              <w:t>Evidence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4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Assort Health announced a $120M Series C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primary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round led by Menlo Ventures, a widely recognized top-tier VC, at a $1.2B valuation.[3][9] This is Menlo’s first time leading a round in Assort (prior rounds were led by other funds such as Lightspeed and Felicis), so this matches a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new-money top-tier lead, Series B+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profile rather than an inside/extension round.[3][5][9]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4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Assort describes itself as “the most widely-used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AI agents platform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for the patient journey,” offering AI agents for scheduling, intake, triage and other patient-access workflows.[3][4][5] Coverage consistently calls it a “voice AI agent startup” and “AI-powered patient access platform,” making it a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pure-play AI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company with AI as the core product, not a peripheral feature.[1][4][7]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2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Public sources emphasize strong commercial momentum and large-scale deployments but do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not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disclose revenue, growth rate, NDR, or LTV/CAC.[3][4][7] Articles note “rapid commercial growth over the past 15 months” and that the company powers some of the largest AI-agent deployments in healthcare, implying traction above an early-stage sub-$5M profile, but without quantified metrics it cannot be scored at the &gt;$25M/70%+ growth bar, so a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conservative mid-band (2)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is appropriate.[3][4]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The $120M Series C at a $1.2B valuation in a large and growing healthcare workflow TAM, combined with pure-play AI positioning and strong syndicate (Menlo, Lightspeed, Felicis, First Round, etc.), suggests meaningful upside potential beyond 3x if execution continues.[2][3][4] However, at unicorn entry price and without disclosed profitability or retention metrics, there is still non-trivial risk of capital loss, aligning best with the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&gt;3x potential with some risk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band.[3][7][8]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This is a straightforward institutional Series C with a top-tier lead and standard multi-VC syndicate; there is no indication of unusual structures like multi-layer SPVs, excessive fees, or highly compressed time horizons.[2][3][9] For an ID8 SPV alongside Menlo, this would likely be structured at or near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0/10 economics with a normal growth-stage time horizon and reasonable public data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, fitting the Score 3 anchor better than the more-optimistic Score 4 given lack of explicit terms disclosure.[3][8]</w:t>
            </w:r>
          </w:p>
        </w:tc>
      </w:tr>
    </w:tbl>
    <w:p>
      <w:pPr>
        <w:spacing w:after="80"/>
      </w:pPr>
    </w:p>
    <w:p>
      <w:r>
        <w:rPr>
          <w:rFonts w:ascii="Sora" w:hAnsi="Sora"/>
          <w:b/>
          <w:caps/>
          <w:color w:val="828282"/>
          <w:sz w:val="17"/>
        </w:rPr>
        <w:t>RATIONALE</w:t>
      </w:r>
    </w:p>
    <w:p>
      <w:pPr>
        <w:spacing w:after="36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 xml:space="preserve">Assort Health is a San Francisco–based, pure-play healthcare AI agents platform raising a $120M </w:t>
      </w:r>
      <w:r>
        <w:rPr>
          <w:rFonts w:ascii="Sora" w:hAnsi="Sora"/>
          <w:b/>
          <w:caps w:val="0"/>
          <w:color w:val="1A1A1A"/>
          <w:sz w:val="21"/>
        </w:rPr>
        <w:t>Series C</w:t>
      </w:r>
      <w:r>
        <w:rPr>
          <w:rFonts w:ascii="Sora" w:hAnsi="Sora"/>
          <w:b w:val="0"/>
          <w:caps w:val="0"/>
          <w:color w:val="1A1A1A"/>
          <w:sz w:val="21"/>
        </w:rPr>
        <w:t xml:space="preserve"> led by Menlo Ventures, clearly passing both the stage (Series C) and geography (US, San Francisco) gates.[3][4][5] The deal aligns strongly with ID8’s core thesis: Menlo Ventures, a Tier 1 firm, is a </w:t>
      </w:r>
      <w:r>
        <w:rPr>
          <w:rFonts w:ascii="Sora" w:hAnsi="Sora"/>
          <w:b/>
          <w:caps w:val="0"/>
          <w:color w:val="1A1A1A"/>
          <w:sz w:val="21"/>
        </w:rPr>
        <w:t>new-money lead</w:t>
      </w:r>
      <w:r>
        <w:rPr>
          <w:rFonts w:ascii="Sora" w:hAnsi="Sora"/>
          <w:b w:val="0"/>
          <w:caps w:val="0"/>
          <w:color w:val="1A1A1A"/>
          <w:sz w:val="21"/>
        </w:rPr>
        <w:t xml:space="preserve"> at Series C rather than an insider extension, which ID8’s backtesting flags as the most predictive pattern for strong returns.[3][5][9] Fundamentals look promising but are not quantitatively disclosed, so the overall fit is driven more by round dynamics, AI centrality, and upside potential than by hard operating metrics.</w:t>
      </w:r>
    </w:p>
    <w:p>
      <w:r>
        <w:rPr>
          <w:rFonts w:ascii="Sora" w:hAnsi="Sora"/>
          <w:b w:val="0"/>
          <w:caps w:val="0"/>
          <w:color w:val="828282"/>
          <w:sz w:val="17"/>
        </w:rPr>
        <w:t>Confidence: medium   ·   Screened 2026-06-29   ·   ID8 Investments — Confidential</w:t>
      </w:r>
    </w:p>
    <w:p>
      <w:r>
        <w:drawing>
          <wp:inline xmlns:a="http://schemas.openxmlformats.org/drawingml/2006/main" xmlns:pic="http://schemas.openxmlformats.org/drawingml/2006/picture">
            <wp:extent cx="731520" cy="72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8_charco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22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