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Roboto Serif" w:hAnsi="Roboto Serif"/>
          <w:b/>
          <w:caps w:val="0"/>
          <w:color w:val="1A1A1A"/>
          <w:sz w:val="48"/>
        </w:rPr>
        <w:t>Ollin</w:t>
      </w:r>
    </w:p>
    <w:p>
      <w:pPr>
        <w:spacing w:after="80"/>
      </w:pPr>
      <w:r>
        <w:rPr>
          <w:rFonts w:ascii="Sora" w:hAnsi="Sora"/>
          <w:b w:val="0"/>
          <w:caps w:val="0"/>
          <w:color w:val="828282"/>
          <w:sz w:val="22"/>
        </w:rPr>
        <w:t>ollin.bio   ·   Series B   ·   Austin, TX   ·   ARCH Venture Partners, TCG Crossover Management</w:t>
      </w:r>
    </w:p>
    <w:p>
      <w:pPr>
        <w:spacing w:after="320"/>
        <w:pBdr>
          <w:bottom w:val="single" w:sz="6" w:color="1A1A1A" w:space="4"/>
        </w:pBdr>
      </w:pPr>
    </w:p>
    <w:p>
      <w:pPr>
        <w:spacing w:after="200"/>
      </w:pPr>
      <w:r>
        <w:rPr>
          <w:rFonts w:ascii="Roboto Serif" w:hAnsi="Roboto Serif"/>
          <w:b/>
          <w:caps w:val="0"/>
          <w:color w:val="1A1A1A"/>
          <w:sz w:val="30"/>
        </w:rPr>
        <w:t>Fit score 2.0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tcBorders>
              <w:top w:val="nil"/>
              <w:left w:val="nil"/>
              <w:right w:val="nil"/>
              <w:bottom w:val="single" w:sz="8" w:color="1A1A1A"/>
            </w:tcBorders>
          </w:tcPr>
          <w:p>
            <w:r>
              <w:rPr>
                <w:rFonts w:ascii="Sora" w:hAnsi="Sora"/>
                <w:b/>
                <w:caps/>
                <w:color w:val="1A1A1A"/>
                <w:sz w:val="17"/>
              </w:rPr>
              <w:t>Dimension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8" w:color="1A1A1A"/>
            </w:tcBorders>
          </w:tcPr>
          <w:p>
            <w:r>
              <w:rPr>
                <w:rFonts w:ascii="Sora" w:hAnsi="Sora"/>
                <w:b/>
                <w:caps/>
                <w:color w:val="1A1A1A"/>
                <w:sz w:val="17"/>
              </w:rPr>
              <w:t>Score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8" w:color="1A1A1A"/>
            </w:tcBorders>
          </w:tcPr>
          <w:p>
            <w:r>
              <w:rPr>
                <w:rFonts w:ascii="Sora" w:hAnsi="Sora"/>
                <w:b/>
                <w:caps/>
                <w:color w:val="1A1A1A"/>
                <w:sz w:val="17"/>
              </w:rPr>
              <w:t>Evidence</w:t>
            </w:r>
          </w:p>
        </w:tc>
      </w:tr>
      <w:tr>
        <w:tc>
          <w:tcPr>
            <w:tcW w:type="dxa" w:w="27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3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Ollin Biosciences, an Austin, Texas–based biotech, raised an oversubscribed $330M Series B round co-led by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new investor TCGX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and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founding investor ARCH Venture Partners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, with a broad top-tier healthcare crossover syndicate including a16z Bio+Health, Blackstone, RA Capital, CPP Investments, and T. Rowe Price.[2][3][5] This is a primary, new-money Series B with at least one Tier 1 lead (TCGX) joining the cap table for the first time, but ARCH is an inside co-lead, so it fits the 'near–top-tier new-money Series B+, top-tier syndicate' band rather than the pure new-money top-tier lead ideal.[3][5]</w:t>
            </w:r>
          </w:p>
        </w:tc>
      </w:tr>
      <w:tr>
        <w:tc>
          <w:tcPr>
            <w:tcW w:type="dxa" w:w="27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1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Ollin is described as a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clinical-stage biotech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advancing best-in-disease therapies for vision-threatening diseases, with its lead asset OLN324 a next-generation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VEGF/Ang2 bispecific antibody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for DME and wet AMD.[2][4][5] All available materials focus on biologic drug development and clinical trials, with no mention of AI, machine learning, or computational drug discovery as a core product or feature; therefore, there is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no evidence of AI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in the value proposition.[2][3][5]</w:t>
            </w:r>
          </w:p>
        </w:tc>
      </w:tr>
      <w:tr>
        <w:tc>
          <w:tcPr>
            <w:tcW w:type="dxa" w:w="27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1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Ollin is explicitly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clinical-stage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, raising capital to fund global Phase 3 development of OLN324 and advance another candidate into the clinic.[2][4][5] There is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no public disclosure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of commercial revenue, growth rate, NDR, LTV/CAC, or burn, and as a pre-commercial biotech it is highly unlikely to meet the rubric bars for &gt;$25M or &gt;$50M revenue and strong unit economics; with no quantitative fundamentals data available, this dimension must be scored low by the rubric’s instruction to avoid fabricating metrics.[2][3][5]</w:t>
            </w:r>
          </w:p>
        </w:tc>
      </w:tr>
      <w:tr>
        <w:tc>
          <w:tcPr>
            <w:tcW w:type="dxa" w:w="27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3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The $330M oversubscribed Series B, top-tier crossover syndicate (including TCGX, ARCH, a16z Bio+Health, RA Capital, CPP Investments, Blackstone, and T. Rowe Price), and progression into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global Phase 3 trials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for a Vabysmo-challenger bispecific antibody indicate a credible path to a multi-billion-dollar ophthalmology franchise if Phase 3 results are successful.[3][4][5] However, as with all late-stage biotech, there remains substantial clinical, regulatory, and commercialization risk, implying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&gt;3x upside potential with meaningful risk of capital loss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, which aligns with a score of 3 rather than the low-risk 7x+ profile of score 4.[3][5]</w:t>
            </w:r>
          </w:p>
        </w:tc>
      </w:tr>
      <w:tr>
        <w:tc>
          <w:tcPr>
            <w:tcW w:type="dxa" w:w="27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864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2</w:t>
            </w:r>
          </w:p>
        </w:tc>
        <w:tc>
          <w:tcPr>
            <w:tcW w:type="dxa" w:w="6336"/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Public announcements describe the financing only as an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oversubscribed $330M Series B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with named leads and a broad crossover syndicate, but provide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no detail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on SPV structure, carry, management fees, or specific time horizon/data access for prospective co-investors.[2][3][5] In the absence of explicit terms information, and given it is a standard large institutional Series B rather than a bespoke 0/10 SPV, the conservative rubric application is to assign a low-mid score reflecting generic market terms rather than specially favorable economics.[2][3][5]</w:t>
            </w:r>
          </w:p>
        </w:tc>
      </w:tr>
    </w:tbl>
    <w:p>
      <w:pPr>
        <w:spacing w:after="80"/>
      </w:pPr>
    </w:p>
    <w:p>
      <w:r>
        <w:rPr>
          <w:rFonts w:ascii="Sora" w:hAnsi="Sora"/>
          <w:b/>
          <w:caps/>
          <w:color w:val="828282"/>
          <w:sz w:val="17"/>
        </w:rPr>
        <w:t>RATIONALE</w:t>
      </w:r>
    </w:p>
    <w:p>
      <w:pPr>
        <w:spacing w:after="36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The deal is </w:t>
      </w:r>
      <w:r>
        <w:rPr>
          <w:rFonts w:ascii="Sora" w:hAnsi="Sora"/>
          <w:b/>
          <w:caps w:val="0"/>
          <w:color w:val="1A1A1A"/>
          <w:sz w:val="21"/>
        </w:rPr>
        <w:t>in scope</w:t>
      </w:r>
      <w:r>
        <w:rPr>
          <w:rFonts w:ascii="Sora" w:hAnsi="Sora"/>
          <w:b w:val="0"/>
          <w:caps w:val="0"/>
          <w:color w:val="1A1A1A"/>
          <w:sz w:val="21"/>
        </w:rPr>
        <w:t xml:space="preserve"> on both gates: it is a </w:t>
      </w:r>
      <w:r>
        <w:rPr>
          <w:rFonts w:ascii="Sora" w:hAnsi="Sora"/>
          <w:b/>
          <w:caps w:val="0"/>
          <w:color w:val="1A1A1A"/>
          <w:sz w:val="21"/>
        </w:rPr>
        <w:t>Series B</w:t>
      </w:r>
      <w:r>
        <w:rPr>
          <w:rFonts w:ascii="Sora" w:hAnsi="Sora"/>
          <w:b w:val="0"/>
          <w:caps w:val="0"/>
          <w:color w:val="1A1A1A"/>
          <w:sz w:val="21"/>
        </w:rPr>
        <w:t xml:space="preserve"> round and Ollin is headquartered in </w:t>
      </w:r>
      <w:r>
        <w:rPr>
          <w:rFonts w:ascii="Sora" w:hAnsi="Sora"/>
          <w:b/>
          <w:caps w:val="0"/>
          <w:color w:val="1A1A1A"/>
          <w:sz w:val="21"/>
        </w:rPr>
        <w:t>Austin, Texas (North America)</w:t>
      </w:r>
      <w:r>
        <w:rPr>
          <w:rFonts w:ascii="Sora" w:hAnsi="Sora"/>
          <w:b w:val="0"/>
          <w:caps w:val="0"/>
          <w:color w:val="1A1A1A"/>
          <w:sz w:val="21"/>
        </w:rPr>
        <w:t xml:space="preserve">.[2][3] It aligns strongly with ID8’s thesis on lead/round dynamics, as the $330M primary Series B is co-led by </w:t>
      </w:r>
      <w:r>
        <w:rPr>
          <w:rFonts w:ascii="Sora" w:hAnsi="Sora"/>
          <w:b/>
          <w:caps w:val="0"/>
          <w:color w:val="1A1A1A"/>
          <w:sz w:val="21"/>
        </w:rPr>
        <w:t>new-money Tier 1 investor TCGX</w:t>
      </w:r>
      <w:r>
        <w:rPr>
          <w:rFonts w:ascii="Sora" w:hAnsi="Sora"/>
          <w:b w:val="0"/>
          <w:caps w:val="0"/>
          <w:color w:val="1A1A1A"/>
          <w:sz w:val="21"/>
        </w:rPr>
        <w:t xml:space="preserve"> alongside inside founding investor ARCH, and supported by a top-tier crossover syndicate including a16z Bio+Health, RA Capital, CPP Investments, Blackstone, and T. Rowe Price, though the presence of an inside co-lead keeps it just below the ideal pure new-money top-tier lead definition.[3][5] Fundamentals are inherently weak/unknown as a pre-commercial clinical-stage biotech, and there is no AI component, but the oversubscribed, Phase 3–stage ophthalmology program backed by leading healthcare investors supports a high-upside (&gt;3x) but high-risk return profile; terms cannot be evaluated beyond generic assumptions due to lack of public detail.[2][3][5]</w:t>
      </w:r>
    </w:p>
    <w:p>
      <w:r>
        <w:rPr>
          <w:rFonts w:ascii="Sora" w:hAnsi="Sora"/>
          <w:b w:val="0"/>
          <w:caps w:val="0"/>
          <w:color w:val="828282"/>
          <w:sz w:val="17"/>
        </w:rPr>
        <w:t>Confidence: medium   ·   Screened 2026-06-29   ·   ID8 Investments — Confidential</w:t>
      </w:r>
    </w:p>
    <w:p>
      <w:r>
        <w:drawing>
          <wp:inline xmlns:a="http://schemas.openxmlformats.org/drawingml/2006/main" xmlns:pic="http://schemas.openxmlformats.org/drawingml/2006/picture">
            <wp:extent cx="731520" cy="72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8_charco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22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