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Roboto Serif" w:hAnsi="Roboto Serif"/>
          <w:b/>
          <w:caps w:val="0"/>
          <w:color w:val="1A1A1A"/>
          <w:sz w:val="44"/>
        </w:rPr>
        <w:t>Nexthop AI</w:t>
      </w:r>
    </w:p>
    <w:p>
      <w:pPr>
        <w:spacing w:after="200"/>
      </w:pPr>
      <w:r>
        <w:rPr>
          <w:rFonts w:ascii="Sora" w:hAnsi="Sora"/>
          <w:b w:val="0"/>
          <w:caps w:val="0"/>
          <w:color w:val="828282"/>
          <w:sz w:val="18"/>
        </w:rPr>
        <w:t>Screened 2026-07-09</w:t>
      </w:r>
    </w:p>
    <w:p>
      <w:pPr>
        <w:spacing w:after="120"/>
        <w:pBdr>
          <w:bottom w:val="single" w:sz="6" w:color="1A1A1A" w:space="4"/>
        </w:pBdr>
      </w:pPr>
      <w:r>
        <w:rPr>
          <w:rFonts w:ascii="Roboto Serif" w:hAnsi="Roboto Serif"/>
          <w:b/>
          <w:caps w:val="0"/>
          <w:color w:val="1A1A1A"/>
          <w:sz w:val="28"/>
        </w:rPr>
        <w:t>FIT ASSESSMENT</w:t>
      </w:r>
    </w:p>
    <w:p>
      <w:pPr>
        <w:spacing w:before="120" w:after="240"/>
      </w:pPr>
      <w:r>
        <w:rPr>
          <w:rFonts w:ascii="Roboto Serif" w:hAnsi="Roboto Serif"/>
          <w:b/>
          <w:caps w:val="0"/>
          <w:color w:val="1A1A1A"/>
          <w:sz w:val="32"/>
        </w:rPr>
        <w:t>3.5 / 4.0</w:t>
      </w:r>
      <w:r>
        <w:rPr>
          <w:rFonts w:ascii="Sora" w:hAnsi="Sora"/>
          <w:b w:val="0"/>
          <w:caps w:val="0"/>
          <w:color w:val="828282"/>
          <w:sz w:val="21"/>
        </w:rPr>
        <w:t xml:space="preserve">   (raw 3.3)</w:t>
      </w:r>
      <w:r>
        <w:rPr>
          <w:rFonts w:ascii="Sora" w:hAnsi="Sora"/>
          <w:b w:val="0"/>
          <w:caps w:val="0"/>
          <w:color w:val="828282"/>
          <w:sz w:val="21"/>
        </w:rPr>
        <w:t xml:space="preserve">   —   CLEARS GATE · STRONG GO</w:t>
      </w:r>
    </w:p>
    <w:tbl>
      <w:tblPr>
        <w:tblW w:type="auto" w:w="0"/>
        <w:tblLayout w:type="fixed"/>
        <w:tblLook w:firstColumn="1" w:firstRow="1" w:lastColumn="0" w:lastRow="0" w:noHBand="0" w:noVBand="1" w:val="04A0"/>
      </w:tblPr>
      <w:tblGrid>
        <w:gridCol w:w="3120"/>
        <w:gridCol w:w="3120"/>
        <w:gridCol w:w="3120"/>
      </w:tblGrid>
      <w:tr>
        <w:tc>
          <w:tcPr>
            <w:tcW w:type="dxa" w:w="2664"/>
            <w:shd w:val="clear" w:color="auto" w:fill="1A1A1A"/>
            <w:tcMar>
              <w:top w:w="40" w:type="dxa"/>
              <w:bottom w:w="40" w:type="dxa"/>
              <w:left w:w="60" w:type="dxa"/>
              <w:right w:w="60" w:type="dxa"/>
            </w:tcMar>
          </w:tcPr>
          <w:p>
            <w:r>
              <w:rPr>
                <w:rFonts w:ascii="Sora" w:hAnsi="Sora"/>
                <w:b/>
                <w:caps/>
                <w:color w:val="FFFFFF"/>
                <w:sz w:val="18"/>
              </w:rPr>
              <w:t>Dimension</w:t>
            </w:r>
          </w:p>
        </w:tc>
        <w:tc>
          <w:tcPr>
            <w:tcW w:type="dxa" w:w="792"/>
            <w:shd w:val="clear" w:color="auto" w:fill="1A1A1A"/>
            <w:tcMar>
              <w:top w:w="40" w:type="dxa"/>
              <w:bottom w:w="40" w:type="dxa"/>
              <w:left w:w="60" w:type="dxa"/>
              <w:right w:w="60" w:type="dxa"/>
            </w:tcMar>
          </w:tcPr>
          <w:p>
            <w:r>
              <w:rPr>
                <w:rFonts w:ascii="Sora" w:hAnsi="Sora"/>
                <w:b/>
                <w:caps/>
                <w:color w:val="FFFFFF"/>
                <w:sz w:val="18"/>
              </w:rPr>
              <w:t>Score</w:t>
            </w:r>
          </w:p>
        </w:tc>
        <w:tc>
          <w:tcPr>
            <w:tcW w:type="dxa" w:w="5904"/>
            <w:shd w:val="clear" w:color="auto" w:fill="1A1A1A"/>
            <w:tcMar>
              <w:top w:w="40" w:type="dxa"/>
              <w:bottom w:w="40" w:type="dxa"/>
              <w:left w:w="60" w:type="dxa"/>
              <w:right w:w="60" w:type="dxa"/>
            </w:tcMar>
          </w:tcPr>
          <w:p>
            <w:r>
              <w:rPr>
                <w:rFonts w:ascii="Sora" w:hAnsi="Sora"/>
                <w:b/>
                <w:caps/>
                <w:color w:val="FFFFFF"/>
                <w:sz w:val="18"/>
              </w:rPr>
              <w:t>Evidence</w:t>
            </w:r>
          </w:p>
        </w:tc>
      </w:tr>
      <w:tr>
        <w:tc>
          <w:tcPr>
            <w:tcW w:type="dxa" w:w="266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Lead / Round Dynamics</w:t>
            </w:r>
          </w:p>
        </w:tc>
        <w:tc>
          <w:tcPr>
            <w:tcW w:type="dxa" w:w="792"/>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4</w:t>
            </w:r>
            <w:r>
              <w:rPr>
                <w:rFonts w:ascii="Sora" w:hAnsi="Sora"/>
                <w:b w:val="0"/>
                <w:caps w:val="0"/>
                <w:color w:val="828282"/>
                <w:sz w:val="17"/>
              </w:rPr>
              <w:t xml:space="preserve"> / 4</w:t>
            </w:r>
          </w:p>
        </w:tc>
        <w:tc>
          <w:tcPr>
            <w:tcW w:type="dxa" w:w="590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Nexthop AI announced an oversubscribed $500M Series B funding round led by Lightspeed Venture Partners, a Tier 1+ firm on the rubric’s list, with Kleiner Perkins, Battery Ventures, WestBridge, and Emergent also participating; this is a new-money institutional lead at Series B, with clear co-investor syndicate.[2][3][5]</w:t>
            </w:r>
          </w:p>
        </w:tc>
      </w:tr>
      <w:tr>
        <w:tc>
          <w:tcPr>
            <w:tcW w:type="dxa" w:w="266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Founder / Team Quality</w:t>
            </w:r>
          </w:p>
        </w:tc>
        <w:tc>
          <w:tcPr>
            <w:tcW w:type="dxa" w:w="792"/>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4</w:t>
            </w:r>
            <w:r>
              <w:rPr>
                <w:rFonts w:ascii="Sora" w:hAnsi="Sora"/>
                <w:b w:val="0"/>
                <w:caps w:val="0"/>
                <w:color w:val="828282"/>
                <w:sz w:val="17"/>
              </w:rPr>
              <w:t xml:space="preserve"> / 4</w:t>
            </w:r>
          </w:p>
        </w:tc>
        <w:tc>
          <w:tcPr>
            <w:tcW w:type="dxa" w:w="590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Nexthop AI was founded by Anshul Sadana, a seasoned networking executive (former Arista COO) and recognized expert in high-performance cloud networking; the company describes a cohesive team of seasoned industry experts in systems and networking, backed by top-tier infrastructure investors (Lightspeed, Kleiner, Battery), signaling strong recruiting and operator-quality on the cap table.[1][2][3][6]</w:t>
            </w:r>
          </w:p>
        </w:tc>
      </w:tr>
      <w:tr>
        <w:tc>
          <w:tcPr>
            <w:tcW w:type="dxa" w:w="266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Fundamentals</w:t>
            </w:r>
          </w:p>
        </w:tc>
        <w:tc>
          <w:tcPr>
            <w:tcW w:type="dxa" w:w="792"/>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3</w:t>
            </w:r>
            <w:r>
              <w:rPr>
                <w:rFonts w:ascii="Sora" w:hAnsi="Sora"/>
                <w:b w:val="0"/>
                <w:caps w:val="0"/>
                <w:color w:val="828282"/>
                <w:sz w:val="17"/>
              </w:rPr>
              <w:t xml:space="preserve"> / 4</w:t>
            </w:r>
          </w:p>
        </w:tc>
        <w:tc>
          <w:tcPr>
            <w:tcW w:type="dxa" w:w="590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Public materials emphasize that Nexthop AI has "accelerated into hypergrowth" and is a frontrunner in advanced AI and cloud networking, but do not disclose revenue, growth, NDR, or unit economics; the $4.2B valuation at Series B with $500M raised implies significant commercial traction and a strong infrastructure moat, yet without hard numbers this remains an [ESTIMATED] assessment anchored in valuation scale, hyperscaler focus, and investor signaling rather than confirmed metrics.[4][5]</w:t>
            </w:r>
          </w:p>
        </w:tc>
      </w:tr>
      <w:tr>
        <w:tc>
          <w:tcPr>
            <w:tcW w:type="dxa" w:w="266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Return Potential</w:t>
            </w:r>
          </w:p>
        </w:tc>
        <w:tc>
          <w:tcPr>
            <w:tcW w:type="dxa" w:w="792"/>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3</w:t>
            </w:r>
            <w:r>
              <w:rPr>
                <w:rFonts w:ascii="Sora" w:hAnsi="Sora"/>
                <w:b w:val="0"/>
                <w:caps w:val="0"/>
                <w:color w:val="828282"/>
                <w:sz w:val="17"/>
              </w:rPr>
              <w:t xml:space="preserve"> / 4</w:t>
            </w:r>
          </w:p>
        </w:tc>
        <w:tc>
          <w:tcPr>
            <w:tcW w:type="dxa" w:w="590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At a reported $4.2B valuation in a $75B+ AI networking opportunity (per founder discussions) and with hyperscalers as target customers, Nexthop AI has a credible path to multi-billon outcomes, but entry at late-B hypergrowth valuations likely implies base-case MOIC in the 3–6x range rather than 6x+ without exceptional execution; competitive dynamics in AI infrastructure and future dilution temper upside while still supporting venture-scale returns.[4][6]</w:t>
            </w:r>
          </w:p>
        </w:tc>
      </w:tr>
      <w:tr>
        <w:tc>
          <w:tcPr>
            <w:tcW w:type="dxa" w:w="266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AI Score</w:t>
            </w:r>
          </w:p>
        </w:tc>
        <w:tc>
          <w:tcPr>
            <w:tcW w:type="dxa" w:w="792"/>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4</w:t>
            </w:r>
            <w:r>
              <w:rPr>
                <w:rFonts w:ascii="Sora" w:hAnsi="Sora"/>
                <w:b w:val="0"/>
                <w:caps w:val="0"/>
                <w:color w:val="828282"/>
                <w:sz w:val="17"/>
              </w:rPr>
              <w:t xml:space="preserve"> / 4</w:t>
            </w:r>
          </w:p>
        </w:tc>
        <w:tc>
          <w:tcPr>
            <w:tcW w:type="dxa" w:w="590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Nexthop AI explicitly positions itself as building "the most efficient AI infrastructure" and "next generation of artificial intelligence (AI) infrastructure" for the world’s largest cloud operators, focused on custom networking solutions deeply integrated into hyperscaler AI/cloud stacks—this is core, structural AI infrastructure rather than an easily replicable application-layer feature, giving it a defensible architecture and data/workload-driven moat.[2][3][5]</w:t>
            </w:r>
          </w:p>
        </w:tc>
      </w:tr>
      <w:tr>
        <w:tc>
          <w:tcPr>
            <w:tcW w:type="dxa" w:w="266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Terms</w:t>
            </w:r>
          </w:p>
        </w:tc>
        <w:tc>
          <w:tcPr>
            <w:tcW w:type="dxa" w:w="792"/>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2</w:t>
            </w:r>
            <w:r>
              <w:rPr>
                <w:rFonts w:ascii="Sora" w:hAnsi="Sora"/>
                <w:b w:val="0"/>
                <w:caps w:val="0"/>
                <w:color w:val="828282"/>
                <w:sz w:val="17"/>
              </w:rPr>
              <w:t xml:space="preserve"> / 4</w:t>
            </w:r>
          </w:p>
        </w:tc>
        <w:tc>
          <w:tcPr>
            <w:tcW w:type="dxa" w:w="590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Press releases and company materials describe the $500M Series B and prior $110M funding but do not disclose co-investor SPV structures, carry, fees, or information rights; absent specific terms for an ID8 entry, and given typical late-stage infrastructure syndicate dynamics, this is scored at the data-missing anchor (no evidence of recurring management fees or egregious carry, but also no confirmation of 0/0/10 or better terms).[3][4][5]</w:t>
            </w:r>
          </w:p>
        </w:tc>
      </w:tr>
    </w:tbl>
    <w:p>
      <w:pPr>
        <w:spacing w:after="160"/>
      </w:pPr>
    </w:p>
    <w:p>
      <w:pPr>
        <w:spacing w:after="120"/>
        <w:pBdr>
          <w:bottom w:val="single" w:sz="6" w:color="1A1A1A" w:space="4"/>
        </w:pBdr>
      </w:pPr>
      <w:r>
        <w:rPr>
          <w:rFonts w:ascii="Roboto Serif" w:hAnsi="Roboto Serif"/>
          <w:b/>
          <w:caps w:val="0"/>
          <w:color w:val="1A1A1A"/>
          <w:sz w:val="24"/>
        </w:rPr>
        <w:t>RATIONALE</w:t>
      </w:r>
    </w:p>
    <w:p>
      <w:pPr>
        <w:spacing w:before="120" w:after="120"/>
        <w:jc w:val="both"/>
      </w:pPr>
      <w:r>
        <w:rPr>
          <w:rFonts w:ascii="Sora" w:hAnsi="Sora"/>
          <w:b w:val="0"/>
          <w:caps w:val="0"/>
          <w:color w:val="1A1A1A"/>
          <w:sz w:val="21"/>
        </w:rPr>
        <w:t>Nexthop AI is a Santa Clara–headquartered AI infrastructure company building custom networking solutions for hyperscalers, backed by a new-money Tier 1+ lead (Lightspeed) in an oversubscribed $500M Series B at a $4.2B valuation, squarely within ID8’s geography and stage mandate.[1][2][3][4][5] The deal aligns strongly with ID8’s thesis on both lead quality (new-money Tier 1+ at Series B) and AI centrality (pure-play AI infrastructure), while founder pedigree and investor syndicate support high team quality; the main caveat is the lack of disclosed financial metrics, which keeps fundamentals and modeled return potential at an [ESTIMATED] 3 rather than a fully verified 4 and leaves terms uncertain pending direct access and SPV specifics.[3][4][5][6]</w:t>
      </w:r>
    </w:p>
    <w:p>
      <w:pPr>
        <w:spacing w:before="80"/>
      </w:pPr>
      <w:r>
        <w:rPr>
          <w:rFonts w:ascii="Sora" w:hAnsi="Sora"/>
          <w:b w:val="0"/>
          <w:caps w:val="0"/>
          <w:color w:val="828282"/>
          <w:sz w:val="18"/>
        </w:rPr>
        <w:t>Confidence: medium</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b w:val="0"/>
        <w:caps w:val="0"/>
        <w:color w:val="828282"/>
        <w:sz w:val="17"/>
      </w:rPr>
      <w:t xml:space="preserve">Page </w:t>
    </w:r>
    <w:fldChar w:fldCharType="begin"/>
    <w:instrText xml:space="preserve"> PAGE </w:instrText>
    <w:fldChar w:fldCharType="end"/>
    <w:r>
      <w:rPr>
        <w:rFonts w:ascii="Sora" w:hAnsi="Sora"/>
        <w:b w:val="0"/>
        <w:caps w:val="0"/>
        <w:color w:val="828282"/>
        <w:sz w:val="17"/>
      </w:rPr>
      <w:t xml:space="preserve"> of </w:t>
    </w:r>
    <w:fldChar w:fldCharType="begin"/>
    <w:instrText xml:space="preserve"> NUMPAGES </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1440"/>
      <w:gridCol w:w="7920"/>
    </w:tblGrid>
    <w:tr>
      <w:tc>
        <w:tcPr>
          <w:tcW w:type="dxa" w:w="4680"/>
          <w:tcBorders>
            <w:top w:val="nil"/>
            <w:left w:val="nil"/>
            <w:right w:val="nil"/>
            <w:bottom w:val="single" w:sz="4" w:color="1A1A1A"/>
          </w:tcBorders>
        </w:tcPr>
        <w:p>
          <w:r>
            <w:drawing>
              <wp:inline xmlns:a="http://schemas.openxmlformats.org/drawingml/2006/main" xmlns:pic="http://schemas.openxmlformats.org/drawingml/2006/picture">
                <wp:extent cx="594360" cy="58725"/>
                <wp:docPr id="1" name="Picture 1"/>
                <wp:cNvGraphicFramePr>
                  <a:graphicFrameLocks noChangeAspect="1"/>
                </wp:cNvGraphicFramePr>
                <a:graphic>
                  <a:graphicData uri="http://schemas.openxmlformats.org/drawingml/2006/picture">
                    <pic:pic>
                      <pic:nvPicPr>
                        <pic:cNvPr id="0" name="id8_charcoal.png"/>
                        <pic:cNvPicPr/>
                      </pic:nvPicPr>
                      <pic:blipFill>
                        <a:blip r:embed="rId1"/>
                        <a:stretch>
                          <a:fillRect/>
                        </a:stretch>
                      </pic:blipFill>
                      <pic:spPr>
                        <a:xfrm>
                          <a:off x="0" y="0"/>
                          <a:ext cx="594360" cy="58725"/>
                        </a:xfrm>
                        <a:prstGeom prst="rect"/>
                      </pic:spPr>
                    </pic:pic>
                  </a:graphicData>
                </a:graphic>
              </wp:inline>
            </w:drawing>
          </w:r>
        </w:p>
      </w:tc>
      <w:tc>
        <w:tcPr>
          <w:tcW w:type="dxa" w:w="4680"/>
          <w:tcBorders>
            <w:top w:val="nil"/>
            <w:left w:val="nil"/>
            <w:right w:val="nil"/>
            <w:bottom w:val="single" w:sz="4" w:color="1A1A1A"/>
          </w:tcBorders>
        </w:tcPr>
        <w:p>
          <w:pPr>
            <w:spacing w:before="80"/>
            <w:jc w:val="right"/>
          </w:pPr>
          <w:r>
            <w:rPr>
              <w:rFonts w:ascii="Sora" w:hAnsi="Sora"/>
              <w:b w:val="0"/>
              <w:caps/>
              <w:color w:val="828282"/>
              <w:sz w:val="16"/>
            </w:rPr>
            <w:t>DEAL SCREEN  ·  ID8 INVESTMENTS  ·  CONFIDENTIAL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ra" w:hAnsi="Sor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