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pPr>
      <w:r>
        <w:rPr>
          <w:rFonts w:ascii="Roboto Serif" w:hAnsi="Roboto Serif"/>
          <w:b/>
          <w:caps w:val="0"/>
          <w:color w:val="1A1A1A"/>
          <w:sz w:val="44"/>
        </w:rPr>
        <w:t>Rogo (Business/Productivity Software)</w:t>
      </w:r>
    </w:p>
    <w:p>
      <w:pPr>
        <w:spacing w:after="200"/>
      </w:pPr>
      <w:r>
        <w:rPr>
          <w:rFonts w:ascii="Sora" w:hAnsi="Sora"/>
          <w:b w:val="0"/>
          <w:caps w:val="0"/>
          <w:color w:val="828282"/>
          <w:sz w:val="18"/>
        </w:rPr>
        <w:t>Screened 2026-07-09</w:t>
      </w:r>
    </w:p>
    <w:p>
      <w:pPr>
        <w:spacing w:after="120"/>
        <w:pBdr>
          <w:bottom w:val="single" w:sz="6" w:color="1A1A1A" w:space="4"/>
        </w:pBdr>
      </w:pPr>
      <w:r>
        <w:rPr>
          <w:rFonts w:ascii="Roboto Serif" w:hAnsi="Roboto Serif"/>
          <w:b/>
          <w:caps w:val="0"/>
          <w:color w:val="1A1A1A"/>
          <w:sz w:val="28"/>
        </w:rPr>
        <w:t>FIT ASSESSMENT</w:t>
      </w:r>
    </w:p>
    <w:p>
      <w:pPr>
        <w:spacing w:before="120" w:after="240"/>
      </w:pPr>
      <w:r>
        <w:rPr>
          <w:rFonts w:ascii="Roboto Serif" w:hAnsi="Roboto Serif"/>
          <w:b/>
          <w:caps w:val="0"/>
          <w:color w:val="1A1A1A"/>
          <w:sz w:val="32"/>
        </w:rPr>
        <w:t>3.6 / 4.0</w:t>
      </w:r>
      <w:r>
        <w:rPr>
          <w:rFonts w:ascii="Sora" w:hAnsi="Sora"/>
          <w:b w:val="0"/>
          <w:caps w:val="0"/>
          <w:color w:val="828282"/>
          <w:sz w:val="21"/>
        </w:rPr>
        <w:t xml:space="preserve">   (raw 3.5)</w:t>
      </w:r>
      <w:r>
        <w:rPr>
          <w:rFonts w:ascii="Sora" w:hAnsi="Sora"/>
          <w:b w:val="0"/>
          <w:caps w:val="0"/>
          <w:color w:val="828282"/>
          <w:sz w:val="21"/>
        </w:rPr>
        <w:t xml:space="preserve">   —   CLEARS GATE · STRONG GO</w:t>
      </w:r>
    </w:p>
    <w:tbl>
      <w:tblPr>
        <w:tblW w:type="auto" w:w="0"/>
        <w:tblLayout w:type="fixed"/>
        <w:tblLook w:firstColumn="1" w:firstRow="1" w:lastColumn="0" w:lastRow="0" w:noHBand="0" w:noVBand="1" w:val="04A0"/>
      </w:tblPr>
      <w:tblGrid>
        <w:gridCol w:w="3120"/>
        <w:gridCol w:w="3120"/>
        <w:gridCol w:w="3120"/>
      </w:tblGrid>
      <w:tr>
        <w:tc>
          <w:tcPr>
            <w:tcW w:type="dxa" w:w="2664"/>
            <w:shd w:val="clear" w:color="auto" w:fill="1A1A1A"/>
            <w:tcMar>
              <w:top w:w="40" w:type="dxa"/>
              <w:bottom w:w="40" w:type="dxa"/>
              <w:left w:w="60" w:type="dxa"/>
              <w:right w:w="60" w:type="dxa"/>
            </w:tcMar>
          </w:tcPr>
          <w:p>
            <w:r>
              <w:rPr>
                <w:rFonts w:ascii="Sora" w:hAnsi="Sora"/>
                <w:b/>
                <w:caps/>
                <w:color w:val="FFFFFF"/>
                <w:sz w:val="18"/>
              </w:rPr>
              <w:t>Dimension</w:t>
            </w:r>
          </w:p>
        </w:tc>
        <w:tc>
          <w:tcPr>
            <w:tcW w:type="dxa" w:w="792"/>
            <w:shd w:val="clear" w:color="auto" w:fill="1A1A1A"/>
            <w:tcMar>
              <w:top w:w="40" w:type="dxa"/>
              <w:bottom w:w="40" w:type="dxa"/>
              <w:left w:w="60" w:type="dxa"/>
              <w:right w:w="60" w:type="dxa"/>
            </w:tcMar>
          </w:tcPr>
          <w:p>
            <w:r>
              <w:rPr>
                <w:rFonts w:ascii="Sora" w:hAnsi="Sora"/>
                <w:b/>
                <w:caps/>
                <w:color w:val="FFFFFF"/>
                <w:sz w:val="18"/>
              </w:rPr>
              <w:t>Score</w:t>
            </w:r>
          </w:p>
        </w:tc>
        <w:tc>
          <w:tcPr>
            <w:tcW w:type="dxa" w:w="5904"/>
            <w:shd w:val="clear" w:color="auto" w:fill="1A1A1A"/>
            <w:tcMar>
              <w:top w:w="40" w:type="dxa"/>
              <w:bottom w:w="40" w:type="dxa"/>
              <w:left w:w="60" w:type="dxa"/>
              <w:right w:w="60" w:type="dxa"/>
            </w:tcMar>
          </w:tcPr>
          <w:p>
            <w:r>
              <w:rPr>
                <w:rFonts w:ascii="Sora" w:hAnsi="Sora"/>
                <w:b/>
                <w:caps/>
                <w:color w:val="FFFFFF"/>
                <w:sz w:val="18"/>
              </w:rPr>
              <w:t>Evidence</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Lead / Round Dynamics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In April 2026, Rogo raised a $160M financing round led by Khosla Ventures, described as a Series B/growth round building on its prior $18M Series A also led by Khosla.[4][8] Khosla Ventures is explicitly listed in the rubric as a Tier 1+ firm, and coverage indicates Khosla is the lead in the new round with direct participation alongside other investors, implying new-money leadership at Series B+ with credible access.[4][8][1]</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Founder / Team Quality</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Rogo was founded by finance and technology veterans; press and company materials highlight founders with deep experience in elite financial institutions and prior roles building data/AI products for banks and funds, positioning them as domain experts with strong recruiting into top-tier finance and engineering talent.[1][4][2] Headcount growth on LinkedIn and Google Cloud’s case study featuring Rogo as an advanced AI customer suggest credible execution capacity and operator-quality team members and advisors.[2][3]</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Fundamentals</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Rogo reports serving leading global financial institutions (investment banks, hedge funds, private equity, asset managers) handling over $3.5T in annual deal volume, indicating substantial enterprise penetration, though it does not disclose ARR, NDR, or margins publicly.[1][5][7] Given a recent $160M round from a Tier 1+ lead following an $18M Series A, and enterprise AI workflow pricing comps in financial software, an [ESTIMATED] revenue level in the mid‑tens of millions with strong growth is reasonable but not verifiable; fundamentals score reflects meaningful traction and moat (secure, finance‑specific AI platform with workflow automation) but falls below the fully verified $50M+/100%+ growth anchor and is capped at MEDIUM diligence confidence.[4][8][2]</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Return Potential</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The combination of a $160M Tier 1+ led growth round, focus on large financial institutions, and an AI platform that automates core revenue-generating workflows (deal analysis, modeling, memo generation) supports a credible path to material scaling and a multi‑hundred‑million to billion‑scale exit, but entry valuations are likely rich for late-stage AI, making 6x+ MOIC a demanding but possible upside rather than guaranteed base case.[4][8][1] Competitive intensity in horizontal AI and potential platform risk from foundation-model vendors suggest execution and market adoption risk, placing realistic base‑case returns in the 3‑6x MOIC / 20‑30% IRR band rather than the 6x+ anchor.[2][5]</w:t>
            </w:r>
          </w:p>
        </w:tc>
      </w:tr>
      <w:tr>
        <w:tc>
          <w:tcPr>
            <w:tcW w:type="dxa" w:w="266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AI Score</w:t>
            </w:r>
          </w:p>
        </w:tc>
        <w:tc>
          <w:tcPr>
            <w:tcW w:type="dxa" w:w="792"/>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4</w:t>
            </w:r>
            <w:r>
              <w:rPr>
                <w:rFonts w:ascii="Sora" w:hAnsi="Sora"/>
                <w:b w:val="0"/>
                <w:caps w:val="0"/>
                <w:color w:val="828282"/>
                <w:sz w:val="17"/>
              </w:rPr>
              <w:t xml:space="preserve"> / 4</w:t>
            </w:r>
          </w:p>
        </w:tc>
        <w:tc>
          <w:tcPr>
            <w:tcW w:type="dxa" w:w="5904"/>
            <w:shd w:val="clear" w:color="auto" w:fill="F5F5F5"/>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Rogo is explicitly positioned as a purpose-built, secure generative AI platform for finance that fine‑tunes language models with an emphasis on source citations, auditability, recency, and financial intuition, producing institutional-grade outputs like Excel models, investment memos, and diligence materials.[1][4][2] It unifies internal and external financial data and uses an agent framework of autonomous financial agents to execute complex workflows end‑to‑end for banks, PE, hedge funds, and asset managers, which constitutes a proprietary, domain‑specific AI architecture and data/workflow moat that is not trivially replicable as a simple plugin to general foundation models.[1][2][6]</w:t>
            </w:r>
          </w:p>
        </w:tc>
      </w:tr>
      <w:tr>
        <w:tc>
          <w:tcPr>
            <w:tcW w:type="dxa" w:w="266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1A1A1A"/>
                <w:sz w:val="19"/>
              </w:rPr>
              <w:t>Terms</w:t>
            </w:r>
          </w:p>
        </w:tc>
        <w:tc>
          <w:tcPr>
            <w:tcW w:type="dxa" w:w="792"/>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caps w:val="0"/>
                <w:color w:val="1A1A1A"/>
                <w:sz w:val="19"/>
              </w:rPr>
              <w:t>3</w:t>
            </w:r>
            <w:r>
              <w:rPr>
                <w:rFonts w:ascii="Sora" w:hAnsi="Sora"/>
                <w:b w:val="0"/>
                <w:caps w:val="0"/>
                <w:color w:val="828282"/>
                <w:sz w:val="17"/>
              </w:rPr>
              <w:t xml:space="preserve"> / 4</w:t>
            </w:r>
          </w:p>
        </w:tc>
        <w:tc>
          <w:tcPr>
            <w:tcW w:type="dxa" w:w="5904"/>
            <w:shd w:val="clear" w:color="auto" w:fill="FFFFFF"/>
            <w:tcMar>
              <w:top w:w="40" w:type="dxa"/>
              <w:bottom w:w="40" w:type="dxa"/>
              <w:left w:w="60" w:type="dxa"/>
              <w:right w:w="60" w:type="dxa"/>
            </w:tcMar>
            <w:tcBorders>
              <w:top w:val="nil"/>
              <w:left w:val="nil"/>
              <w:right w:val="nil"/>
              <w:bottom w:val="single" w:sz="4" w:color="E4DFD5"/>
            </w:tcBorders>
          </w:tcPr>
          <w:p>
            <w:r>
              <w:rPr>
                <w:rFonts w:ascii="Sora" w:hAnsi="Sora"/>
                <w:b w:val="0"/>
                <w:caps w:val="0"/>
                <w:color w:val="3C3C3C"/>
                <w:sz w:val="18"/>
              </w:rPr>
              <w:t>No public information describes specific SPV or co‑invest terms for ID8 (carry, fees, or information rights) in Rogo’s rounds; coverage only names the institutional lead (Khosla Ventures) and the financing amounts.[4][8] In the absence of any evidence of recurring management fees or unusually high carry/upfront access charges, and given standard VC primary round structure, terms are conservatively treated as baseline 0/0/10 equivalent under the rubric’s data‑missing convention.[4][8]</w:t>
            </w:r>
          </w:p>
        </w:tc>
      </w:tr>
    </w:tbl>
    <w:p>
      <w:pPr>
        <w:spacing w:after="160"/>
      </w:pPr>
    </w:p>
    <w:p>
      <w:pPr>
        <w:spacing w:after="120"/>
        <w:pBdr>
          <w:bottom w:val="single" w:sz="6" w:color="1A1A1A" w:space="4"/>
        </w:pBdr>
      </w:pPr>
      <w:r>
        <w:rPr>
          <w:rFonts w:ascii="Roboto Serif" w:hAnsi="Roboto Serif"/>
          <w:b/>
          <w:caps w:val="0"/>
          <w:color w:val="1A1A1A"/>
          <w:sz w:val="24"/>
        </w:rPr>
        <w:t>RATIONALE</w:t>
      </w:r>
    </w:p>
    <w:p>
      <w:pPr>
        <w:spacing w:before="120" w:after="120"/>
        <w:jc w:val="both"/>
      </w:pPr>
      <w:r>
        <w:rPr>
          <w:rFonts w:ascii="Sora" w:hAnsi="Sora"/>
          <w:b w:val="0"/>
          <w:caps w:val="0"/>
          <w:color w:val="1A1A1A"/>
          <w:sz w:val="21"/>
        </w:rPr>
        <w:t>Rogo is a New York‑based enterprise AI platform purpose‑built for finance, deploying autonomous financial agents and fine‑tuned language models to automate complex deal and investment workflows for leading banks, PE firms, hedge funds, and asset managers.[1][2][4] Geography (US HQ) and stage (recent $160M Series B/growth round led by Tier 1+ Khosla Ventures) both fit squarely within ID8’s mandate, and the lead is genuinely new‑money Tier 1+ rather than an insider bridge, aligning strongly with the thesis that new‑money Tier 1‑led Series B+ rounds in AI‑native companies are the highest‑return cohort.[4][8] AI is clearly structural to Rogo’s moat—its core product is an AI agent platform and finance‑specific fine‑tuned models integrated with proprietary institutional data—so it satisfies the AI‑centric mandate rather than being an AI‑adjacent feature layer.[1][2][6] Fundamentals and return potential appear solid but are not yet fully disclosed; based on enterprise traction signals and the scale of the recent round, the deal looks directionally attractive for deeper diligence rather than a pre‑emptive pass.</w:t>
      </w:r>
    </w:p>
    <w:p>
      <w:pPr>
        <w:spacing w:before="80"/>
      </w:pPr>
      <w:r>
        <w:rPr>
          <w:rFonts w:ascii="Sora" w:hAnsi="Sora"/>
          <w:b w:val="0"/>
          <w:caps w:val="0"/>
          <w:color w:val="828282"/>
          <w:sz w:val="18"/>
        </w:rPr>
        <w:t>Confidence: medium</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ora" w:hAnsi="Sora"/>
        <w:b w:val="0"/>
        <w:caps w:val="0"/>
        <w:color w:val="828282"/>
        <w:sz w:val="17"/>
      </w:rPr>
      <w:t xml:space="preserve">Page </w:t>
    </w:r>
    <w:fldChar w:fldCharType="begin"/>
    <w:instrText xml:space="preserve"> PAGE </w:instrText>
    <w:fldChar w:fldCharType="end"/>
    <w:r>
      <w:rPr>
        <w:rFonts w:ascii="Sora" w:hAnsi="Sora"/>
        <w:b w:val="0"/>
        <w:caps w:val="0"/>
        <w:color w:val="828282"/>
        <w:sz w:val="17"/>
      </w:rPr>
      <w:t xml:space="preserve"> of </w:t>
    </w:r>
    <w:fldChar w:fldCharType="begin"/>
    <w:instrText xml:space="preserve"> NUMPAGES </w:instrText>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1440"/>
      <w:gridCol w:w="7920"/>
    </w:tblGrid>
    <w:tr>
      <w:tc>
        <w:tcPr>
          <w:tcW w:type="dxa" w:w="4680"/>
          <w:tcBorders>
            <w:top w:val="nil"/>
            <w:left w:val="nil"/>
            <w:right w:val="nil"/>
            <w:bottom w:val="single" w:sz="4" w:color="1A1A1A"/>
          </w:tcBorders>
        </w:tcPr>
        <w:p>
          <w:r>
            <w:drawing>
              <wp:inline xmlns:a="http://schemas.openxmlformats.org/drawingml/2006/main" xmlns:pic="http://schemas.openxmlformats.org/drawingml/2006/picture">
                <wp:extent cx="594360" cy="58725"/>
                <wp:docPr id="1" name="Picture 1"/>
                <wp:cNvGraphicFramePr>
                  <a:graphicFrameLocks noChangeAspect="1"/>
                </wp:cNvGraphicFramePr>
                <a:graphic>
                  <a:graphicData uri="http://schemas.openxmlformats.org/drawingml/2006/picture">
                    <pic:pic>
                      <pic:nvPicPr>
                        <pic:cNvPr id="0" name="id8_charcoal.png"/>
                        <pic:cNvPicPr/>
                      </pic:nvPicPr>
                      <pic:blipFill>
                        <a:blip r:embed="rId1"/>
                        <a:stretch>
                          <a:fillRect/>
                        </a:stretch>
                      </pic:blipFill>
                      <pic:spPr>
                        <a:xfrm>
                          <a:off x="0" y="0"/>
                          <a:ext cx="594360" cy="58725"/>
                        </a:xfrm>
                        <a:prstGeom prst="rect"/>
                      </pic:spPr>
                    </pic:pic>
                  </a:graphicData>
                </a:graphic>
              </wp:inline>
            </w:drawing>
          </w:r>
        </w:p>
      </w:tc>
      <w:tc>
        <w:tcPr>
          <w:tcW w:type="dxa" w:w="4680"/>
          <w:tcBorders>
            <w:top w:val="nil"/>
            <w:left w:val="nil"/>
            <w:right w:val="nil"/>
            <w:bottom w:val="single" w:sz="4" w:color="1A1A1A"/>
          </w:tcBorders>
        </w:tcPr>
        <w:p>
          <w:pPr>
            <w:spacing w:before="80"/>
            <w:jc w:val="right"/>
          </w:pPr>
          <w:r>
            <w:rPr>
              <w:rFonts w:ascii="Sora" w:hAnsi="Sora"/>
              <w:b w:val="0"/>
              <w:caps/>
              <w:color w:val="828282"/>
              <w:sz w:val="16"/>
            </w:rPr>
            <w:t>DEAL SCREEN  ·  ID8 INVESTMENTS  ·  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ra" w:hAnsi="So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