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</w:pPr>
      <w:r>
        <w:rPr>
          <w:rFonts w:ascii="Roboto Serif" w:hAnsi="Roboto Serif"/>
          <w:b/>
          <w:caps w:val="0"/>
          <w:color w:val="1A1A1A"/>
          <w:sz w:val="44"/>
        </w:rPr>
        <w:t>Ollin</w:t>
      </w:r>
    </w:p>
    <w:p>
      <w:pPr>
        <w:spacing w:after="40"/>
      </w:pPr>
      <w:r>
        <w:rPr>
          <w:rFonts w:ascii="Sora" w:hAnsi="Sora"/>
          <w:b w:val="0"/>
          <w:caps w:val="0"/>
          <w:color w:val="828282"/>
          <w:sz w:val="21"/>
        </w:rPr>
        <w:t>ollin.bio   ·   Series B   ·   Austin, TX   ·   ARCH Venture Partners, TCG Crossover Management(Cariad Chester)</w:t>
      </w:r>
    </w:p>
    <w:p>
      <w:pPr>
        <w:spacing w:after="200"/>
      </w:pPr>
      <w:r>
        <w:rPr>
          <w:rFonts w:ascii="Sora" w:hAnsi="Sora"/>
          <w:b w:val="0"/>
          <w:caps w:val="0"/>
          <w:color w:val="828282"/>
          <w:sz w:val="18"/>
        </w:rPr>
        <w:t>Screened 2026-06-30</w:t>
      </w:r>
    </w:p>
    <w:p>
      <w:pPr>
        <w:spacing w:after="120"/>
        <w:pBdr>
          <w:bottom w:val="single" w:sz="6" w:color="1A1A1A" w:space="4"/>
        </w:pBdr>
      </w:pPr>
      <w:r>
        <w:rPr>
          <w:rFonts w:ascii="Roboto Serif" w:hAnsi="Roboto Serif"/>
          <w:b/>
          <w:caps w:val="0"/>
          <w:color w:val="1A1A1A"/>
          <w:sz w:val="28"/>
        </w:rPr>
        <w:t>FIT ASSESSMENT</w:t>
      </w:r>
    </w:p>
    <w:p>
      <w:pPr>
        <w:spacing w:before="120" w:after="240"/>
      </w:pPr>
      <w:r>
        <w:rPr>
          <w:rFonts w:ascii="Roboto Serif" w:hAnsi="Roboto Serif"/>
          <w:b/>
          <w:caps w:val="0"/>
          <w:color w:val="1A1A1A"/>
          <w:sz w:val="32"/>
        </w:rPr>
        <w:t>2.0 / 4.0</w:t>
      </w:r>
      <w:r>
        <w:rPr>
          <w:rFonts w:ascii="Sora" w:hAnsi="Sora"/>
          <w:b w:val="0"/>
          <w:caps w:val="0"/>
          <w:color w:val="828282"/>
          <w:sz w:val="21"/>
        </w:rPr>
        <w:t xml:space="preserve">   —   BELOW THRESHOLD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664"/>
            <w:shd w:val="clear" w:color="auto" w:fill="1A1A1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Sora" w:hAnsi="Sora"/>
                <w:b/>
                <w:caps/>
                <w:color w:val="FFFFFF"/>
                <w:sz w:val="18"/>
              </w:rPr>
              <w:t>Dimension</w:t>
            </w:r>
          </w:p>
        </w:tc>
        <w:tc>
          <w:tcPr>
            <w:tcW w:type="dxa" w:w="792"/>
            <w:shd w:val="clear" w:color="auto" w:fill="1A1A1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Sora" w:hAnsi="Sora"/>
                <w:b/>
                <w:caps/>
                <w:color w:val="FFFFFF"/>
                <w:sz w:val="18"/>
              </w:rPr>
              <w:t>Score</w:t>
            </w:r>
          </w:p>
        </w:tc>
        <w:tc>
          <w:tcPr>
            <w:tcW w:type="dxa" w:w="5904"/>
            <w:shd w:val="clear" w:color="auto" w:fill="1A1A1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Sora" w:hAnsi="Sora"/>
                <w:b/>
                <w:caps/>
                <w:color w:val="FFFFFF"/>
                <w:sz w:val="18"/>
              </w:rPr>
              <w:t>Evidence</w:t>
            </w:r>
          </w:p>
        </w:tc>
      </w:tr>
      <w:tr>
        <w:tc>
          <w:tcPr>
            <w:tcW w:type="dxa" w:w="266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Lead / Round Dynamics</w:t>
            </w:r>
          </w:p>
        </w:tc>
        <w:tc>
          <w:tcPr>
            <w:tcW w:type="dxa" w:w="792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3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 xml:space="preserve">Ollin Biosciences raised an oversubscribed $330M </w:t>
            </w:r>
            <w:r>
              <w:rPr>
                <w:rFonts w:ascii="Sora" w:hAnsi="Sora"/>
                <w:b/>
                <w:caps w:val="0"/>
                <w:color w:val="3C3C3C"/>
                <w:sz w:val="18"/>
              </w:rPr>
              <w:t>Series B</w:t>
            </w:r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 xml:space="preserve"> round co-led by founding investor ARCH Venture Partners and </w:t>
            </w:r>
            <w:r>
              <w:rPr>
                <w:rFonts w:ascii="Sora" w:hAnsi="Sora"/>
                <w:b/>
                <w:caps w:val="0"/>
                <w:color w:val="3C3C3C"/>
                <w:sz w:val="18"/>
              </w:rPr>
              <w:t>new investor</w:t>
            </w:r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 xml:space="preserve"> TCGX, with a large healthcare-focused crossover and institutional syndicate including a16z Bio+Health, RA Capital, Blackstone, CPP Investments, and T. Rowe Price accounts.[1][4][9] ARCH is an existing insider while TCGX is a tier-1 crossover/late-stage investor joining as new money; this is a near–top-tier new-money Series B with a top-tier syndicate but not a purely new-money top-tier lead, so fits Score 3 rather than Score 4.[1][2][4]</w:t>
            </w:r>
          </w:p>
        </w:tc>
      </w:tr>
      <w:tr>
        <w:tc>
          <w:tcPr>
            <w:tcW w:type="dxa" w:w="266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AI Score</w:t>
            </w:r>
          </w:p>
        </w:tc>
        <w:tc>
          <w:tcPr>
            <w:tcW w:type="dxa" w:w="792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1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 xml:space="preserve">Ollin is described as a </w:t>
            </w:r>
            <w:r>
              <w:rPr>
                <w:rFonts w:ascii="Sora" w:hAnsi="Sora"/>
                <w:b/>
                <w:caps w:val="0"/>
                <w:color w:val="3C3C3C"/>
                <w:sz w:val="18"/>
              </w:rPr>
              <w:t>clinical-stage biopharmaceutical</w:t>
            </w:r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 xml:space="preserve"> company developing novel therapies for severe, vision-threatening ophthalmic diseases (wet AMD, DME, TED) via bispecific antibodies and biologics competing with drugs like Roche’s Vabysmo and Amgen’s Tepezza.[3][1] No sources mention machine learning, AI-enabled discovery, or an AI-centric product; this appears to be a traditional biotech, so AI Score is 1.[3][4]</w:t>
            </w:r>
          </w:p>
        </w:tc>
      </w:tr>
      <w:tr>
        <w:tc>
          <w:tcPr>
            <w:tcW w:type="dxa" w:w="266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Fundamentals</w:t>
            </w:r>
          </w:p>
        </w:tc>
        <w:tc>
          <w:tcPr>
            <w:tcW w:type="dxa" w:w="792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1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 xml:space="preserve">Public information describes Ollin as a </w:t>
            </w:r>
            <w:r>
              <w:rPr>
                <w:rFonts w:ascii="Sora" w:hAnsi="Sora"/>
                <w:b/>
                <w:caps w:val="0"/>
                <w:color w:val="3C3C3C"/>
                <w:sz w:val="18"/>
              </w:rPr>
              <w:t>clinical-stage</w:t>
            </w:r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 xml:space="preserve"> biotech with its lead asset OLN324/IBI324 moving into global Phase 3 trials for DME and wet AMD in the second half of 2026, funded by the $330M Series B.[1][6][9] As typical for Phase 3 ophthalmology biotech, no revenue, growth, NDR, or LTV/CAC metrics are reported and the business is fundamentally pre-commercial and cash-burning; with no evidence of commercial scale (&gt; $25M revenue) or efficiency, this fits the Score 1 fundamentals bucket for this rubric.[1][3]</w:t>
            </w:r>
          </w:p>
        </w:tc>
      </w:tr>
      <w:tr>
        <w:tc>
          <w:tcPr>
            <w:tcW w:type="dxa" w:w="266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Return Potential</w:t>
            </w:r>
          </w:p>
        </w:tc>
        <w:tc>
          <w:tcPr>
            <w:tcW w:type="dxa" w:w="792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3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The $330M Series B supports late-stage global Phase 3 programs in large, well-validated indications (wet AMD and DME) where Ollin aims to challenge Roche’s Vabysmo with potentially best-in-class bispecific antibodies, in partnership with Innovent for China.[1][3][6][9] If Phase 3 data are positive, an exit via IPO or strategic sale to a large ophthalmology player (e.g., Roche, Regeneron, Novartis) could plausibly deliver &gt;3x outcomes from crossover entry, but there remains substantial clinical and regulatory risk typical of single-asset or concentrated biotech bets, so Score 3 (&gt;3x potential with meaningful capital-loss risk) is appropriate rather than Score 4.[1][4][6]</w:t>
            </w:r>
          </w:p>
        </w:tc>
      </w:tr>
      <w:tr>
        <w:tc>
          <w:tcPr>
            <w:tcW w:type="dxa" w:w="266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Terms</w:t>
            </w:r>
          </w:p>
        </w:tc>
        <w:tc>
          <w:tcPr>
            <w:tcW w:type="dxa" w:w="792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2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Available coverage focuses on the size and investors in the oversubscribed $330M Series B and does not disclose valuation, liquidation preferences, or SPV economics for co-investors; ID8 would most likely access this through a standard 0/10 SPV or similar structure but that is not evidenced in public sources.[1][4][9] Given lack of specific term data but context of a competitive, top-tier crossover-led biotech round (which usually clears at market terms rather than punitive structures), a conservative midpoint Score 2 is appropriate rather than assuming 0/10, better-than-0/10, or high-fee carry without evidence.[1][5]</w:t>
            </w:r>
          </w:p>
        </w:tc>
      </w:tr>
    </w:tbl>
    <w:p>
      <w:pPr>
        <w:spacing w:after="160"/>
      </w:pPr>
    </w:p>
    <w:p>
      <w:pPr>
        <w:spacing w:after="120"/>
        <w:pBdr>
          <w:bottom w:val="single" w:sz="6" w:color="1A1A1A" w:space="4"/>
        </w:pBdr>
      </w:pPr>
      <w:r>
        <w:rPr>
          <w:rFonts w:ascii="Roboto Serif" w:hAnsi="Roboto Serif"/>
          <w:b/>
          <w:caps w:val="0"/>
          <w:color w:val="1A1A1A"/>
          <w:sz w:val="24"/>
        </w:rPr>
        <w:t>RATIONALE</w:t>
      </w:r>
    </w:p>
    <w:p>
      <w:pPr>
        <w:spacing w:before="120" w:after="120"/>
        <w:jc w:val="both"/>
      </w:pPr>
      <w:r>
        <w:rPr>
          <w:rFonts w:ascii="Sora" w:hAnsi="Sora"/>
          <w:b w:val="0"/>
          <w:caps w:val="0"/>
          <w:color w:val="1A1A1A"/>
          <w:sz w:val="21"/>
        </w:rPr>
        <w:t xml:space="preserve">Ollin Biosciences is an Austin-based, clinical-stage ophthalmology biotech raising a very large, oversubscribed </w:t>
      </w:r>
      <w:r>
        <w:rPr>
          <w:rFonts w:ascii="Sora" w:hAnsi="Sora"/>
          <w:b/>
          <w:caps w:val="0"/>
          <w:color w:val="1A1A1A"/>
          <w:sz w:val="21"/>
        </w:rPr>
        <w:t>Series B</w:t>
      </w:r>
      <w:r>
        <w:rPr>
          <w:rFonts w:ascii="Sora" w:hAnsi="Sora"/>
          <w:b w:val="0"/>
          <w:caps w:val="0"/>
          <w:color w:val="1A1A1A"/>
          <w:sz w:val="21"/>
        </w:rPr>
        <w:t xml:space="preserve"> led by insider ARCH Venture Partners and new-money tier-1 crossover TCGX, with a strong syndicate of a16z Bio+Health, RA Capital, Blackstone, CPP Investments, and T. Rowe Price accounts, which aligns well with ID8’s emphasis on new-money tier-1 leads but only partially, since one co-lead is an existing investor rather than purely new-money.[1][2][4][9] The company is pre-commercial and AI-light, but targets large, validated retinal markets with a Phase 3-ready asset, giving solid upside with material clinical risk; overall it fits ID8’s </w:t>
      </w:r>
      <w:r>
        <w:rPr>
          <w:rFonts w:ascii="Sora" w:hAnsi="Sora"/>
          <w:b/>
          <w:caps w:val="0"/>
          <w:color w:val="1A1A1A"/>
          <w:sz w:val="21"/>
        </w:rPr>
        <w:t>stage and geography gates</w:t>
      </w:r>
      <w:r>
        <w:rPr>
          <w:rFonts w:ascii="Sora" w:hAnsi="Sora"/>
          <w:b w:val="0"/>
          <w:caps w:val="0"/>
          <w:color w:val="1A1A1A"/>
          <w:sz w:val="21"/>
        </w:rPr>
        <w:t xml:space="preserve"> and broadly matches the thesis on round dynamics, while fundamentals and AI exposure are weak under this rubric.</w:t>
      </w:r>
    </w:p>
    <w:p>
      <w:pPr>
        <w:spacing w:before="80"/>
      </w:pPr>
      <w:r>
        <w:rPr>
          <w:rFonts w:ascii="Sora" w:hAnsi="Sora"/>
          <w:b w:val="0"/>
          <w:caps w:val="0"/>
          <w:color w:val="828282"/>
          <w:sz w:val="18"/>
        </w:rPr>
        <w:t>Confidence: medium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ora" w:hAnsi="Sora"/>
        <w:b w:val="0"/>
        <w:caps w:val="0"/>
        <w:color w:val="828282"/>
        <w:sz w:val="17"/>
      </w:rPr>
      <w:t xml:space="preserve">Page </w:t>
    </w:r>
    <w:fldChar w:fldCharType="begin"/>
    <w:instrText xml:space="preserve"> PAGE </w:instrText>
    <w:fldChar w:fldCharType="end"/>
    <w:r>
      <w:rPr>
        <w:rFonts w:ascii="Sora" w:hAnsi="Sora"/>
        <w:b w:val="0"/>
        <w:caps w:val="0"/>
        <w:color w:val="828282"/>
        <w:sz w:val="17"/>
      </w:rPr>
      <w:t xml:space="preserve"> of </w:t>
    </w:r>
    <w:fldChar w:fldCharType="begin"/>
    <w:instrText xml:space="preserve"> NUMPAGES </w:instrText>
    <w:fldChar w:fldCharType="end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440"/>
      <w:gridCol w:w="7920"/>
    </w:tblGrid>
    <w:tr>
      <w:tc>
        <w:tcPr>
          <w:tcW w:type="dxa" w:w="4680"/>
          <w:tcBorders>
            <w:top w:val="nil"/>
            <w:left w:val="nil"/>
            <w:right w:val="nil"/>
            <w:bottom w:val="single" w:sz="4" w:color="1A1A1A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594360" cy="58725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d8_charcoal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" cy="58725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tcBorders>
            <w:top w:val="nil"/>
            <w:left w:val="nil"/>
            <w:right w:val="nil"/>
            <w:bottom w:val="single" w:sz="4" w:color="1A1A1A"/>
          </w:tcBorders>
        </w:tcPr>
        <w:p>
          <w:pPr>
            <w:spacing w:before="80"/>
            <w:jc w:val="right"/>
          </w:pPr>
          <w:r>
            <w:rPr>
              <w:rFonts w:ascii="Sora" w:hAnsi="Sora"/>
              <w:b w:val="0"/>
              <w:caps/>
              <w:color w:val="828282"/>
              <w:sz w:val="16"/>
            </w:rPr>
            <w:t>DEAL SCREEN  ·  ID8 INVESTMENTS  ·  CONFIDENTIAL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ora" w:hAnsi="Sor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